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5E11D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Arial" w:eastAsia="Arial" w:hAnsi="Arial" w:cs="Arial"/>
          <w:color w:val="000000"/>
          <w:sz w:val="22"/>
          <w:szCs w:val="22"/>
        </w:rPr>
      </w:pPr>
    </w:p>
    <w:p w14:paraId="5949DD17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Arial" w:eastAsia="Arial" w:hAnsi="Arial" w:cs="Arial"/>
          <w:color w:val="000000"/>
          <w:sz w:val="22"/>
          <w:szCs w:val="22"/>
        </w:rPr>
      </w:pPr>
    </w:p>
    <w:p w14:paraId="01B3A71B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right"/>
        <w:rPr>
          <w:rFonts w:ascii="Arial" w:eastAsia="Arial" w:hAnsi="Arial" w:cs="Arial"/>
          <w:color w:val="000000"/>
        </w:rPr>
      </w:pPr>
    </w:p>
    <w:p w14:paraId="641E71ED" w14:textId="77777777" w:rsidR="00B11B8A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</w:rPr>
        <w:t>KARTA KURSU</w:t>
      </w:r>
    </w:p>
    <w:p w14:paraId="7F057700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0FB32D0B" w14:textId="2FC2BEB6" w:rsidR="00B11B8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Kierunek: Turystyka Historyczna i </w:t>
      </w:r>
      <w:r w:rsidR="00E84281">
        <w:rPr>
          <w:rFonts w:ascii="Arial" w:eastAsia="Arial" w:hAnsi="Arial" w:cs="Arial"/>
          <w:color w:val="000000"/>
          <w:sz w:val="22"/>
          <w:szCs w:val="22"/>
        </w:rPr>
        <w:t>M</w:t>
      </w:r>
      <w:r>
        <w:rPr>
          <w:rFonts w:ascii="Arial" w:eastAsia="Arial" w:hAnsi="Arial" w:cs="Arial"/>
          <w:color w:val="000000"/>
          <w:sz w:val="22"/>
          <w:szCs w:val="22"/>
        </w:rPr>
        <w:t>uzealnictwo</w:t>
      </w:r>
    </w:p>
    <w:p w14:paraId="67D3C427" w14:textId="77777777" w:rsidR="00B11B8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Studia </w:t>
      </w:r>
      <w:proofErr w:type="gramStart"/>
      <w:r>
        <w:rPr>
          <w:rFonts w:ascii="Arial" w:eastAsia="Arial" w:hAnsi="Arial" w:cs="Arial"/>
          <w:color w:val="000000"/>
          <w:sz w:val="22"/>
          <w:szCs w:val="22"/>
        </w:rPr>
        <w:t>stacjonarne,</w:t>
      </w:r>
      <w:proofErr w:type="gramEnd"/>
      <w:r>
        <w:rPr>
          <w:rFonts w:ascii="Arial" w:eastAsia="Arial" w:hAnsi="Arial" w:cs="Arial"/>
          <w:color w:val="000000"/>
          <w:sz w:val="22"/>
          <w:szCs w:val="22"/>
        </w:rPr>
        <w:t xml:space="preserve"> I stopnia, rok III, semestr V</w:t>
      </w:r>
    </w:p>
    <w:p w14:paraId="4218FF1C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53FFA113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640" w:type="dxa"/>
        <w:tblInd w:w="-142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7655"/>
      </w:tblGrid>
      <w:tr w:rsidR="00B11B8A" w14:paraId="38ECB8F2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0D32FD2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10DE3D92" w14:textId="77777777" w:rsidR="00B11B8A" w:rsidRPr="00B8272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B8272F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Historia </w:t>
            </w:r>
            <w:r w:rsidRPr="00B8272F">
              <w:rPr>
                <w:rFonts w:ascii="Arial" w:eastAsia="Arial" w:hAnsi="Arial" w:cs="Arial"/>
                <w:sz w:val="20"/>
                <w:szCs w:val="20"/>
              </w:rPr>
              <w:t xml:space="preserve">sztuki </w:t>
            </w:r>
            <w:r w:rsidRPr="00B8272F">
              <w:rPr>
                <w:rFonts w:ascii="Arial" w:eastAsia="Arial" w:hAnsi="Arial" w:cs="Arial"/>
                <w:color w:val="000000"/>
                <w:sz w:val="20"/>
                <w:szCs w:val="20"/>
              </w:rPr>
              <w:t>XX w.</w:t>
            </w:r>
          </w:p>
        </w:tc>
      </w:tr>
      <w:tr w:rsidR="00B11B8A" w:rsidRPr="00B8272F" w14:paraId="0178F2D0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6C7FEA83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2549230" w14:textId="77777777" w:rsidR="00B11B8A" w:rsidRPr="00B8272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</w:pPr>
            <w:r w:rsidRPr="00B8272F">
              <w:rPr>
                <w:rFonts w:ascii="Arial" w:eastAsia="Arial" w:hAnsi="Arial" w:cs="Arial"/>
                <w:i/>
                <w:sz w:val="20"/>
                <w:szCs w:val="20"/>
                <w:lang w:val="en-US"/>
              </w:rPr>
              <w:t>History of 20th century art</w:t>
            </w:r>
          </w:p>
        </w:tc>
      </w:tr>
    </w:tbl>
    <w:p w14:paraId="1807D1F6" w14:textId="77777777" w:rsidR="00B11B8A" w:rsidRPr="008C003F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  <w:lang w:val="en-US"/>
        </w:rPr>
      </w:pPr>
    </w:p>
    <w:tbl>
      <w:tblPr>
        <w:tblStyle w:val="a0"/>
        <w:tblW w:w="9640" w:type="dxa"/>
        <w:tblInd w:w="-142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B11B8A" w14:paraId="7F957C3F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7F0E7DE9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vAlign w:val="center"/>
          </w:tcPr>
          <w:p w14:paraId="6A013F85" w14:textId="1E9F3297" w:rsidR="00B11B8A" w:rsidRDefault="00E842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 xml:space="preserve">Dr Kamila Łabno-Hajduk 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4CEEC8AD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Zespół dydaktyczny</w:t>
            </w:r>
          </w:p>
        </w:tc>
      </w:tr>
      <w:tr w:rsidR="00B11B8A" w14:paraId="34DB2C11" w14:textId="77777777">
        <w:trPr>
          <w:cantSplit/>
          <w:trHeight w:val="344"/>
        </w:trPr>
        <w:tc>
          <w:tcPr>
            <w:tcW w:w="3189" w:type="dxa"/>
            <w:vMerge/>
            <w:shd w:val="clear" w:color="auto" w:fill="DBE5F1"/>
            <w:vAlign w:val="center"/>
          </w:tcPr>
          <w:p w14:paraId="24CC7034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vMerge/>
            <w:vAlign w:val="center"/>
          </w:tcPr>
          <w:p w14:paraId="51F94358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vAlign w:val="center"/>
          </w:tcPr>
          <w:p w14:paraId="6299799B" w14:textId="10AF3E3F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 xml:space="preserve">        </w:t>
            </w:r>
            <w:r w:rsidR="00E84281">
              <w:rPr>
                <w:rFonts w:ascii="Arial" w:eastAsia="Arial" w:hAnsi="Arial" w:cs="Arial"/>
                <w:color w:val="000000"/>
                <w:sz w:val="20"/>
                <w:szCs w:val="20"/>
              </w:rPr>
              <w:t>Dr Kamila Łabno-Hajduk</w:t>
            </w:r>
          </w:p>
        </w:tc>
      </w:tr>
      <w:tr w:rsidR="00B11B8A" w14:paraId="405D1AAC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vAlign w:val="center"/>
          </w:tcPr>
          <w:p w14:paraId="57364C36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vAlign w:val="center"/>
          </w:tcPr>
          <w:p w14:paraId="59168AC2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14:paraId="50D617D5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B11B8A" w14:paraId="1CD3E31D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4ED51F96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vAlign w:val="center"/>
          </w:tcPr>
          <w:p w14:paraId="612994EF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3261" w:type="dxa"/>
            <w:vMerge/>
            <w:vAlign w:val="center"/>
          </w:tcPr>
          <w:p w14:paraId="13436DB1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07BC91C7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68312248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3FFD1DB1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6C68DA9A" w14:textId="77777777" w:rsidR="00B11B8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Opis kursu (cele kształcenia)</w:t>
      </w:r>
    </w:p>
    <w:p w14:paraId="0D9734D8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1"/>
        <w:tblW w:w="9640" w:type="dxa"/>
        <w:tblInd w:w="-14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40"/>
      </w:tblGrid>
      <w:tr w:rsidR="00B11B8A" w14:paraId="02B1473B" w14:textId="77777777">
        <w:trPr>
          <w:trHeight w:val="1365"/>
        </w:trPr>
        <w:tc>
          <w:tcPr>
            <w:tcW w:w="9640" w:type="dxa"/>
          </w:tcPr>
          <w:p w14:paraId="6864EBA7" w14:textId="32577256" w:rsidR="00B11B8A" w:rsidRPr="00A87E42" w:rsidRDefault="00000000" w:rsidP="00A87E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Kurs "Historia sztuki XX wieku" ma na celu zapoznanie studentów z najważniejszymi kierunkami, nurtami i zjawiskami artystycznymi rozwijającymi się od początku XX wieku do współczesności.</w:t>
            </w:r>
            <w:r w:rsidR="00E84281">
              <w:rPr>
                <w:rFonts w:ascii="Arial" w:eastAsia="Arial" w:hAnsi="Arial" w:cs="Arial"/>
                <w:sz w:val="22"/>
                <w:szCs w:val="22"/>
              </w:rPr>
              <w:t xml:space="preserve"> Obejmuje zarówno klasyczne ruchy awangardowe, jak i zjawiska późniejsze, takie jak pop-art., konceptualizm, sztuka performatywna, postmodernizm czy street art.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Podczas zajęć studenci będą mieli możliwość analizowania i interpretowania dzieł sztuki w kontekście historycznym, społecznym i kulturowym, poznając wpływ nowych technologii, zmian społecznych i politycznych na twórczość artystyczną tego okresu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.</w:t>
            </w:r>
            <w:r w:rsidR="00A87E4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Jednym z celów kształcenia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jest zrozumienie przez studentów, w jaki sposób sztuka XX wieku wpłynęła na współczesne zjawiska artystyczne oraz umiejętność rozróżniania pomiędzy różnymi strategiami twórczymi, które rozwijały się w tym czasie.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Po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zakończeniu kursu studenci będą posiadali solidne podstawy do dalszych studiów nad sztuką współczesną, zrozumieją dynamikę zmian w sztuce XX wieku oraz </w:t>
            </w:r>
            <w:r>
              <w:rPr>
                <w:rFonts w:ascii="Arial" w:eastAsia="Arial" w:hAnsi="Arial" w:cs="Arial"/>
                <w:sz w:val="22"/>
                <w:szCs w:val="22"/>
              </w:rPr>
              <w:t>będą potrafili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samodzielnie analizować i interpretować dzieła sztuki w kontekście kulturowym.</w:t>
            </w:r>
            <w:r w:rsidR="00A87E42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66064293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1934FEB0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211B6508" w14:textId="77777777" w:rsidR="00B11B8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Warunki wstępne</w:t>
      </w:r>
    </w:p>
    <w:p w14:paraId="32FF9523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2"/>
        <w:tblW w:w="9640" w:type="dxa"/>
        <w:tblInd w:w="-142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B11B8A" w14:paraId="7E445A6D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12092028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03235A1A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Wiedza dotycząca XX wieku na poziomie szkoły średniej, historia sztuki XIX w. na poziomie szkoły wyższej (studia I stopnia).</w:t>
            </w:r>
          </w:p>
        </w:tc>
      </w:tr>
      <w:tr w:rsidR="00B11B8A" w14:paraId="26B6647B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1F4E16A4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1C7528B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Umiejętność czytania ze zrozumieniem tekstów popularnonaukowych oraz naukowych, wyciągania i formułowania na ich podstawie wniosków, umiejętność prowadzenia dyskusji, umiejętność analizy prostych tekstów źródłowych, umiejętność samodzielnego poszukiwania literatury w procesie tworzenia referatu.</w:t>
            </w:r>
          </w:p>
        </w:tc>
      </w:tr>
      <w:tr w:rsidR="00B11B8A" w14:paraId="72A3BF8B" w14:textId="77777777">
        <w:tc>
          <w:tcPr>
            <w:tcW w:w="1941" w:type="dxa"/>
            <w:shd w:val="clear" w:color="auto" w:fill="DBE5F1"/>
            <w:vAlign w:val="center"/>
          </w:tcPr>
          <w:p w14:paraId="3E398F30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4136E95F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Historia sztuki XIX wieku</w:t>
            </w:r>
          </w:p>
        </w:tc>
      </w:tr>
    </w:tbl>
    <w:p w14:paraId="0EF83621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63414290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59A37F74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705D699E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4AA9C27E" w14:textId="77777777" w:rsidR="00B11B8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lastRenderedPageBreak/>
        <w:t>Efekty uczenia się</w:t>
      </w:r>
    </w:p>
    <w:p w14:paraId="6D972B6B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3"/>
        <w:tblW w:w="9640" w:type="dxa"/>
        <w:tblInd w:w="-14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B11B8A" w14:paraId="0093A8A0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B69AB4B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7FDD4D29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67E613D4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="00B11B8A" w14:paraId="15DF90A6" w14:textId="77777777">
        <w:trPr>
          <w:cantSplit/>
          <w:trHeight w:val="1838"/>
        </w:trPr>
        <w:tc>
          <w:tcPr>
            <w:tcW w:w="1979" w:type="dxa"/>
            <w:vMerge/>
            <w:shd w:val="clear" w:color="auto" w:fill="DBE5F1"/>
            <w:vAlign w:val="center"/>
          </w:tcPr>
          <w:p w14:paraId="3BB8B839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96" w:type="dxa"/>
          </w:tcPr>
          <w:p w14:paraId="38804218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W01, Student </w:t>
            </w:r>
            <w:r>
              <w:rPr>
                <w:rFonts w:ascii="Arial" w:eastAsia="Arial" w:hAnsi="Arial" w:cs="Arial"/>
                <w:sz w:val="22"/>
                <w:szCs w:val="22"/>
              </w:rPr>
              <w:t>rozumie związki między wydarzeniami i procesami historycznymi a rozwojem cywilizacyjnym, technologicznym, duchowym oraz kulturowym człowieka. Rozumie złożone relacje oraz zależności między przeszłością a współczesnymi zjawiskami w obszarze historii kultury, urbanistyki, sposobu myślenia, obyczajów i codziennego życia</w:t>
            </w:r>
          </w:p>
          <w:p w14:paraId="2B745A6D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9BDDAEB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W02, Student </w:t>
            </w:r>
            <w:r>
              <w:rPr>
                <w:rFonts w:ascii="Arial" w:eastAsia="Arial" w:hAnsi="Arial" w:cs="Arial"/>
                <w:sz w:val="22"/>
                <w:szCs w:val="22"/>
              </w:rPr>
              <w:t>posiada usystematyzowaną wiedzę na temat kluczowych etapów transformacji urbanistycznych miast w XX w. oraz rozumie związki między architekturą a kontekstem cywilizacyjnym danej epoki.</w:t>
            </w:r>
          </w:p>
          <w:p w14:paraId="7384429C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3FC4153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W03, Student </w:t>
            </w:r>
            <w:r>
              <w:rPr>
                <w:rFonts w:ascii="Arial" w:eastAsia="Arial" w:hAnsi="Arial" w:cs="Arial"/>
                <w:sz w:val="22"/>
                <w:szCs w:val="22"/>
              </w:rPr>
              <w:t>ma rozległą wiedzę z zakresu historii kultury i sztuki, obejmującą najważniejsze dzieła z XX wieku, ze szczególnym uwzględnieniem Polski i Europy. Zna główne nurty, epoki, formy artystyczne oraz style charakterystyczne dla dwudziestowiecznej sztuki.</w:t>
            </w:r>
          </w:p>
          <w:p w14:paraId="6F62E14B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F69F9C6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365" w:type="dxa"/>
          </w:tcPr>
          <w:p w14:paraId="5FA000C3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K_W04</w:t>
            </w:r>
          </w:p>
          <w:p w14:paraId="184A1EE5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6E8FF9CD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246F19AC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55389A0C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77AB1E5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907A1D7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4D8947C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64E0ECB" w14:textId="77777777" w:rsidR="00B11B8A" w:rsidRDefault="00000000" w:rsidP="00A87E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K_W0</w:t>
            </w:r>
            <w:r>
              <w:rPr>
                <w:rFonts w:ascii="Arial" w:eastAsia="Arial" w:hAnsi="Arial" w:cs="Arial"/>
                <w:sz w:val="22"/>
                <w:szCs w:val="22"/>
              </w:rPr>
              <w:t>8</w:t>
            </w:r>
          </w:p>
          <w:p w14:paraId="6B9A4554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862A194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ADD5A33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8DA092E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F9EFB76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FD913F6" w14:textId="77777777" w:rsidR="00B11B8A" w:rsidRDefault="00000000" w:rsidP="00A87E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K_W10</w:t>
            </w:r>
          </w:p>
        </w:tc>
      </w:tr>
    </w:tbl>
    <w:p w14:paraId="3CBCE056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34F70747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4"/>
        <w:tblW w:w="9640" w:type="dxa"/>
        <w:tblInd w:w="-14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B11B8A" w14:paraId="6711AF76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3DF05F0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DF3852E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2490A02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="00B11B8A" w14:paraId="4F0FC891" w14:textId="77777777">
        <w:trPr>
          <w:cantSplit/>
          <w:trHeight w:val="2116"/>
        </w:trPr>
        <w:tc>
          <w:tcPr>
            <w:tcW w:w="1985" w:type="dxa"/>
            <w:vMerge/>
            <w:shd w:val="clear" w:color="auto" w:fill="DBE5F1"/>
            <w:vAlign w:val="center"/>
          </w:tcPr>
          <w:p w14:paraId="2C853FAC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EE8825A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U01, Student </w:t>
            </w:r>
            <w:r>
              <w:rPr>
                <w:rFonts w:ascii="Arial" w:eastAsia="Arial" w:hAnsi="Arial" w:cs="Arial"/>
                <w:sz w:val="22"/>
                <w:szCs w:val="22"/>
              </w:rPr>
              <w:t>samodzielnie zdobywa i porządkuje wiedzę, korzystając z nowoczesnych metod pozyskiwania, klasyfikowania i analizy informacji. Potrafi definiować, wyjaśniać oraz prawidłowo stosować te informacje w praktyce.</w:t>
            </w:r>
          </w:p>
          <w:p w14:paraId="08DD7A82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33B18F77" w14:textId="36732752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U0</w:t>
            </w:r>
            <w:r>
              <w:rPr>
                <w:rFonts w:ascii="Arial" w:eastAsia="Arial" w:hAnsi="Arial" w:cs="Arial"/>
                <w:sz w:val="22"/>
                <w:szCs w:val="22"/>
              </w:rPr>
              <w:t>2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, Student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dokonuje samodzielnej analizy </w:t>
            </w:r>
            <w:r w:rsidR="00A87E42">
              <w:rPr>
                <w:rFonts w:ascii="Arial" w:eastAsia="Arial" w:hAnsi="Arial" w:cs="Arial"/>
                <w:sz w:val="22"/>
                <w:szCs w:val="22"/>
              </w:rPr>
              <w:t>dzieł sztuki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XX wieku oraz szeroko rozumianych dzieł kultury tego okresu. Potrafi przedstawić wyniki swojej pracy w uporządkowanej formie, wykorzystując różnorodne nowoczesne metody i techniki.</w:t>
            </w:r>
          </w:p>
          <w:p w14:paraId="3DD99196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5EB2FAA9" w14:textId="77777777" w:rsidR="00B11B8A" w:rsidRDefault="00000000">
            <w:pPr>
              <w:ind w:left="0" w:hanging="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U03, Student potrafi rozpoznać, wskazać i nazwać przykłady sztuki XX wieku. Rozpoznaje style oraz formy architektoniczne, a także potrafi wskazać ich charakterystyczne cechy.</w:t>
            </w:r>
          </w:p>
          <w:p w14:paraId="13471710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14:paraId="294C8958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K_U02</w:t>
            </w:r>
          </w:p>
          <w:p w14:paraId="783DC836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7536B840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F475A2C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F5B2B9D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67A519DF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7EEAC51D" w14:textId="77777777" w:rsidR="00B11B8A" w:rsidRDefault="00000000" w:rsidP="00A87E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K_U0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  <w:p w14:paraId="0F98E206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7723B6A6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30230088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49D82F8E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05A545BD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30710D66" w14:textId="77777777" w:rsidR="00B11B8A" w:rsidRDefault="00000000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K_U07</w:t>
            </w:r>
          </w:p>
          <w:p w14:paraId="7C1BBC32" w14:textId="77777777" w:rsidR="00B11B8A" w:rsidRDefault="00B11B8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2B8E4D00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0D2CC92D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9640" w:type="dxa"/>
        <w:tblInd w:w="-14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B11B8A" w14:paraId="02146AA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A2E8477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59C76CA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E85E7A4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="00B11B8A" w14:paraId="10370BDB" w14:textId="77777777">
        <w:trPr>
          <w:cantSplit/>
          <w:trHeight w:val="1984"/>
        </w:trPr>
        <w:tc>
          <w:tcPr>
            <w:tcW w:w="1985" w:type="dxa"/>
            <w:vMerge/>
            <w:shd w:val="clear" w:color="auto" w:fill="DBE5F1"/>
            <w:vAlign w:val="center"/>
          </w:tcPr>
          <w:p w14:paraId="644B531D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8C07B52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K01, Student jest gotów do odpowiedzialnego wykonywania ról zawodowych, w tym do podnoszenia kompetencji i systematycznego dokształcania się w zakresie wiedzy dotyczącej historii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sztuki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w XX wieku.</w:t>
            </w:r>
          </w:p>
          <w:p w14:paraId="4B47C5F7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1B827205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K02, </w:t>
            </w:r>
            <w:r>
              <w:rPr>
                <w:rFonts w:ascii="Arial" w:eastAsia="Arial" w:hAnsi="Arial" w:cs="Arial"/>
                <w:sz w:val="22"/>
                <w:szCs w:val="22"/>
              </w:rPr>
              <w:t>Student dzięki nabytej wiedzy z zakresu historii sztuki XX wieku ma możliwość uczestniczenia w życiu kulturalnym oraz angażuje się społecznie w aktywną ochronę dziedzictwa kulturowego.</w:t>
            </w:r>
          </w:p>
        </w:tc>
        <w:tc>
          <w:tcPr>
            <w:tcW w:w="2410" w:type="dxa"/>
          </w:tcPr>
          <w:p w14:paraId="765CE2C2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K_K01</w:t>
            </w:r>
          </w:p>
          <w:p w14:paraId="64742E7A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5827DDDA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C76E4BE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831F9C1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0474BD0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A343738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K_K02</w:t>
            </w:r>
          </w:p>
        </w:tc>
      </w:tr>
    </w:tbl>
    <w:p w14:paraId="2ACE7FFD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4F10E5ED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565186D8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6"/>
        <w:tblW w:w="9639" w:type="dxa"/>
        <w:tblInd w:w="-142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B11B8A" w14:paraId="21C04B1F" w14:textId="77777777">
        <w:trPr>
          <w:cantSplit/>
          <w:trHeight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AEECD4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right="137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Organizacja</w:t>
            </w:r>
          </w:p>
        </w:tc>
      </w:tr>
      <w:tr w:rsidR="00B11B8A" w14:paraId="5725C32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90EB063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7391B4C8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Wykład</w:t>
            </w:r>
          </w:p>
          <w:p w14:paraId="37D14F4C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DBED26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Ćwiczenia w grupach</w:t>
            </w:r>
          </w:p>
        </w:tc>
      </w:tr>
      <w:tr w:rsidR="00B11B8A" w14:paraId="59E15B45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5EBC0B20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6F03BCAA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69B120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5ABD2411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251D7B5E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7127ACB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AFDC00D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13BD6168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34E8C79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576FF8EA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DAD059E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1BD6BB7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ADA4C49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73AD4949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B11B8A" w14:paraId="38727FC9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357759AF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EB84C77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5A4C6B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3280E3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A873A0A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0CA669B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FCEFB09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28160FD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B11B8A" w14:paraId="7F3E336E" w14:textId="77777777">
        <w:trPr>
          <w:trHeight w:val="462"/>
        </w:trPr>
        <w:tc>
          <w:tcPr>
            <w:tcW w:w="1611" w:type="dxa"/>
            <w:vAlign w:val="center"/>
          </w:tcPr>
          <w:p w14:paraId="1B9D0C81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72F56A1B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F48552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AB69D6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10828C9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1116C2F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46FED4A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4EEFBCA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048109E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37B22CD4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496E9A08" w14:textId="77777777" w:rsidR="00B11B8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Opis metod prowadzenia zajęć</w:t>
      </w:r>
    </w:p>
    <w:p w14:paraId="3317F6A7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7"/>
        <w:tblW w:w="9622" w:type="dxa"/>
        <w:tblInd w:w="-14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B11B8A" w14:paraId="1BE5976F" w14:textId="77777777">
        <w:trPr>
          <w:trHeight w:val="1920"/>
        </w:trPr>
        <w:tc>
          <w:tcPr>
            <w:tcW w:w="9622" w:type="dxa"/>
          </w:tcPr>
          <w:p w14:paraId="395E4507" w14:textId="0C4E40EC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Ćwiczenia posiadają charakter audytorium, zaś podstawową metodą prowadzenia zajęć jest dyskusja oparta na zadanej do przeczytania literaturze oraz przedstawianie przez studentów referatów, które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powinny być zilustrowane prezentacją multimedialną. Zajęcia w ramach </w:t>
            </w:r>
            <w:r w:rsidR="00A87E42">
              <w:rPr>
                <w:rFonts w:ascii="Arial" w:eastAsia="Arial" w:hAnsi="Arial" w:cs="Arial"/>
                <w:color w:val="000000"/>
                <w:sz w:val="22"/>
                <w:szCs w:val="22"/>
              </w:rPr>
              <w:t>kursu będą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prowadzone w sposób interaktywny, z naciskiem na metody aktywizujące, które angażują studentów do krytycznego myślenia, analizy i współpracy. </w:t>
            </w:r>
            <w:r>
              <w:rPr>
                <w:rFonts w:ascii="Arial" w:eastAsia="Arial" w:hAnsi="Arial" w:cs="Arial"/>
                <w:sz w:val="22"/>
                <w:szCs w:val="22"/>
              </w:rPr>
              <w:t>Audytorium będzie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prowadzon</w:t>
            </w:r>
            <w:r>
              <w:rPr>
                <w:rFonts w:ascii="Arial" w:eastAsia="Arial" w:hAnsi="Arial" w:cs="Arial"/>
                <w:sz w:val="22"/>
                <w:szCs w:val="22"/>
              </w:rPr>
              <w:t>e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w formie interaktywnej, z regularnym angażowaniem studentów poprzez pytania, krótkie quizy, dyskusje oraz analizę wybranych dzieł sztuki. Dzięki temu studenci będą na bieżąco włączeni w tok zajęć, a teoria zostanie poparta aktywną refleksją nad omawianymi zagadnieniami. W trakcie kursu przewidziane są debaty, podczas których studenci będą mieli okazję wymieniać się opiniami na temat wybranych kierunków sztuki XX wieku. Dyskusje te mogą dotyczyć takich tematów jak rola sztuki w polityce, wpływ awangardy na współczesne formy wyrazu, czy porównanie różnych ruchów artystycznych. Taka forma pozwoli studentom wyrażać swoje poglądy oraz rozwijać argumentację.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W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miarę możliwości kurs będzie wzbogacony o wyjścia do galerii, muzeów czy wystaw, aby studenci mieli okazję bezpośredniego kontaktu z dziełami sztuki. Zajęcia w takich miejscach umożliwią dyskusję o dziełach w ich oryginalnym kontekście, a także pozwolą na praktyczne zastosowanie umiejętności analizy. Studenci będą zachęcani do tworzenia prezentacji multimedialnych na wybrane tematy związane z historią sztuki XX wieku. Wykorzystanie technologii audiowizualnych pomoże lepiej zrozumieć kontekst i technikę dzieł sztuki, a także umożliwi kreatywne przedstawienie materiału</w:t>
            </w:r>
          </w:p>
          <w:p w14:paraId="708AE7A5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51EF45C7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6354D5EE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sz w:val="22"/>
          <w:szCs w:val="22"/>
        </w:rPr>
      </w:pPr>
    </w:p>
    <w:p w14:paraId="48A00837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sz w:val="22"/>
          <w:szCs w:val="22"/>
        </w:rPr>
      </w:pPr>
    </w:p>
    <w:p w14:paraId="3E681061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sz w:val="22"/>
          <w:szCs w:val="22"/>
        </w:rPr>
      </w:pPr>
    </w:p>
    <w:p w14:paraId="39493061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sz w:val="22"/>
          <w:szCs w:val="22"/>
        </w:rPr>
      </w:pPr>
    </w:p>
    <w:p w14:paraId="47D1DC98" w14:textId="77777777" w:rsidR="00B11B8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Formy sprawdzania efektów uczenia się</w:t>
      </w:r>
    </w:p>
    <w:p w14:paraId="59088783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8"/>
        <w:tblW w:w="9621" w:type="dxa"/>
        <w:tblInd w:w="-108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B11B8A" w14:paraId="2F17B0B4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74393B1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vAlign w:val="center"/>
          </w:tcPr>
          <w:p w14:paraId="3685C4BE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 – learning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44D985E3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67F23FA3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538038D0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79107347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07236455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73CCB5F7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0F6DC190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vAlign w:val="center"/>
          </w:tcPr>
          <w:p w14:paraId="00A77C78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vAlign w:val="center"/>
          </w:tcPr>
          <w:p w14:paraId="345EC230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324C86ED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3CE10F1F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vAlign w:val="center"/>
          </w:tcPr>
          <w:p w14:paraId="210DF25D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Inne</w:t>
            </w:r>
          </w:p>
        </w:tc>
      </w:tr>
      <w:tr w:rsidR="00B11B8A" w14:paraId="3B1C074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AE2B7D7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26B393C4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523885D1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5D7284EE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0D628EC8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190C4CD9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07ECF189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27FAB9F0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58BBE342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  <w:vAlign w:val="center"/>
          </w:tcPr>
          <w:p w14:paraId="3B0A4839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  <w:vAlign w:val="center"/>
          </w:tcPr>
          <w:p w14:paraId="1481861B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480273A7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211BB033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3E4368E6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11B8A" w14:paraId="2A2CD66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D4F68A9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2A6EF4A3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7DABD180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439115DC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3000643A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1A11CD9B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38096031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5ABC0A12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7ADB3F4F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  <w:vAlign w:val="center"/>
          </w:tcPr>
          <w:p w14:paraId="4818B3AF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  <w:vAlign w:val="center"/>
          </w:tcPr>
          <w:p w14:paraId="76B20F52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2802B952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0B8C5470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218FF168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11B8A" w14:paraId="1472284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52A3365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0F02547B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676F9B4B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3FA57752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49DF4DEB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16BD1501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6EDB78AA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74B0FF86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4547BBEE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  <w:vAlign w:val="center"/>
          </w:tcPr>
          <w:p w14:paraId="6C0163DD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  <w:vAlign w:val="center"/>
          </w:tcPr>
          <w:p w14:paraId="0C60FD4A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7FE1B7DA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11571A56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559A1DB2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11B8A" w14:paraId="46E83FC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A810EBA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441EDFF8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6F83043C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10465528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753D8D9C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556E8EB5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0D65AB78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106FDBC9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2E4F628C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  <w:vAlign w:val="center"/>
          </w:tcPr>
          <w:p w14:paraId="36845500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  <w:vAlign w:val="center"/>
          </w:tcPr>
          <w:p w14:paraId="0DBDA710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3FBEBDEB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1388C78D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015C2446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11B8A" w14:paraId="670EA5F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6E4D2BF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2375D9EE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7B36528E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6E09FC48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1020492D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41A3EFEE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49385A39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11EA119B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5BB21311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  <w:vAlign w:val="center"/>
          </w:tcPr>
          <w:p w14:paraId="59925003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  <w:vAlign w:val="center"/>
          </w:tcPr>
          <w:p w14:paraId="5D145EF3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718B84A3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106C64CB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296371BA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11B8A" w14:paraId="30CBA4D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801D3D1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3927BFA9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44F07BDA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58CC42A5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2F2595B9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4FEDB59E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6D5D5F50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321E7600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55A1B43E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/>
            <w:vAlign w:val="center"/>
          </w:tcPr>
          <w:p w14:paraId="378C8AFC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  <w:vAlign w:val="center"/>
          </w:tcPr>
          <w:p w14:paraId="25BCC4EF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55DBC111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6A8A8483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5F0A7F89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11B8A" w14:paraId="566062DB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F7F2EBD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1D30B459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708369D5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7C8016B9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58F4AB45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3D5B5DD8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752BF0E5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31C581B2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010D50ED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  <w:vAlign w:val="center"/>
          </w:tcPr>
          <w:p w14:paraId="76E63D9B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  <w:vAlign w:val="center"/>
          </w:tcPr>
          <w:p w14:paraId="79D65546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2E924E73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3DD85A88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3015FB8F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B11B8A" w14:paraId="5346BF6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ABD5774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5CD0EC8F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5610079C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4000C776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78F0C0E5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shd w:val="clear" w:color="auto" w:fill="FFFFFF"/>
            <w:vAlign w:val="center"/>
          </w:tcPr>
          <w:p w14:paraId="472518E3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75389481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16A6031D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79D238E3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/>
            <w:vAlign w:val="center"/>
          </w:tcPr>
          <w:p w14:paraId="10DD5600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/>
            <w:vAlign w:val="center"/>
          </w:tcPr>
          <w:p w14:paraId="16390975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252C7D9C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36DB94AD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/>
            <w:vAlign w:val="center"/>
          </w:tcPr>
          <w:p w14:paraId="20E383DF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C28BD02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21E7EE97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59B8C9CE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9"/>
        <w:tblW w:w="9640" w:type="dxa"/>
        <w:tblInd w:w="-142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B11B8A" w14:paraId="2344EB9B" w14:textId="77777777">
        <w:tc>
          <w:tcPr>
            <w:tcW w:w="1941" w:type="dxa"/>
            <w:shd w:val="clear" w:color="auto" w:fill="DBE5F1"/>
            <w:vAlign w:val="center"/>
          </w:tcPr>
          <w:p w14:paraId="2122D175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DD465D8" w14:textId="77777777" w:rsidR="00B11B8A" w:rsidRDefault="00000000" w:rsidP="00A87E42">
            <w:pPr>
              <w:spacing w:line="360" w:lineRule="auto"/>
              <w:ind w:leftChars="0" w:left="0" w:firstLineChars="0" w:firstLine="0"/>
              <w:jc w:val="both"/>
            </w:pPr>
            <w:r>
              <w:t xml:space="preserve">Kurs kończy się zaliczeniem na ocenę, na którą składają się </w:t>
            </w:r>
          </w:p>
          <w:p w14:paraId="7853CD82" w14:textId="77777777" w:rsidR="00B11B8A" w:rsidRDefault="00000000">
            <w:pPr>
              <w:numPr>
                <w:ilvl w:val="0"/>
                <w:numId w:val="1"/>
              </w:numPr>
              <w:spacing w:line="360" w:lineRule="auto"/>
              <w:ind w:left="0" w:hanging="2"/>
              <w:jc w:val="both"/>
            </w:pPr>
            <w:r>
              <w:t>Obecność. 25%</w:t>
            </w:r>
          </w:p>
          <w:p w14:paraId="41FFDD5A" w14:textId="77777777" w:rsidR="00B11B8A" w:rsidRDefault="00000000">
            <w:pPr>
              <w:numPr>
                <w:ilvl w:val="0"/>
                <w:numId w:val="1"/>
              </w:numPr>
              <w:spacing w:line="360" w:lineRule="auto"/>
              <w:ind w:left="0" w:hanging="2"/>
              <w:jc w:val="both"/>
            </w:pPr>
            <w:r>
              <w:t>Wygłoszenie referatu oraz przygotowanie i zrealizowanie ćwiczenia dydaktycznego z pozostałymi uczestnikami zajęć. Ćwiczenie dydaktyczne powinno dotyczyć tematyki prezentowanej w referacie. Przy przygotowywaniu ćwiczenia dydaktycznego powinna zostać wykorzystana co najmniej jedna z metod aktywizujących. 50%</w:t>
            </w:r>
          </w:p>
          <w:p w14:paraId="0FDB998B" w14:textId="77777777" w:rsidR="00B11B8A" w:rsidRDefault="00000000">
            <w:pPr>
              <w:numPr>
                <w:ilvl w:val="0"/>
                <w:numId w:val="1"/>
              </w:numPr>
              <w:spacing w:line="360" w:lineRule="auto"/>
              <w:ind w:left="0" w:hanging="2"/>
              <w:jc w:val="both"/>
            </w:pPr>
            <w:r>
              <w:t>Aktywność na zajęciach i udział w dyskusji. 25%</w:t>
            </w:r>
          </w:p>
          <w:p w14:paraId="769E26C9" w14:textId="77777777" w:rsidR="00B11B8A" w:rsidRDefault="00B11B8A">
            <w:pPr>
              <w:spacing w:line="360" w:lineRule="auto"/>
              <w:ind w:left="0" w:hanging="2"/>
              <w:jc w:val="both"/>
            </w:pPr>
          </w:p>
          <w:p w14:paraId="2C42DD30" w14:textId="77777777" w:rsidR="00B11B8A" w:rsidRDefault="00000000">
            <w:pPr>
              <w:spacing w:line="360" w:lineRule="auto"/>
              <w:ind w:left="0" w:hanging="2"/>
              <w:jc w:val="both"/>
            </w:pPr>
            <w:r>
              <w:t>Skala ocen:</w:t>
            </w:r>
          </w:p>
          <w:p w14:paraId="1C2C5122" w14:textId="11C7AFB5" w:rsidR="00B11B8A" w:rsidRDefault="00000000">
            <w:pPr>
              <w:spacing w:line="360" w:lineRule="auto"/>
              <w:ind w:left="0" w:hanging="2"/>
              <w:jc w:val="both"/>
            </w:pPr>
            <w:r>
              <w:t>2</w:t>
            </w:r>
            <w:r w:rsidR="00A87E42">
              <w:t>,0 –</w:t>
            </w:r>
            <w:r>
              <w:t xml:space="preserve"> Student opuścił znaczącą liczbę zajęć, nie wykazywał aktywności w trakcie </w:t>
            </w:r>
            <w:r w:rsidR="00A87E42">
              <w:t>zajęć</w:t>
            </w:r>
            <w:r>
              <w:t xml:space="preserve"> oraz nie przygotował referatu ani ćwiczenia dydaktycznego.</w:t>
            </w:r>
          </w:p>
          <w:p w14:paraId="6B313EE5" w14:textId="587168C7" w:rsidR="00B11B8A" w:rsidRDefault="00000000">
            <w:pPr>
              <w:spacing w:line="360" w:lineRule="auto"/>
              <w:ind w:left="0" w:hanging="2"/>
              <w:jc w:val="both"/>
            </w:pPr>
            <w:r>
              <w:t>3</w:t>
            </w:r>
            <w:r w:rsidR="00A87E42">
              <w:t xml:space="preserve">,0 – </w:t>
            </w:r>
            <w:r>
              <w:t xml:space="preserve">Student był obecny na zajęciach, jednak nie wykazywał w ich trakcie aktywności. Student przygotował referat oraz ćwiczenie dydaktyczne w sposób pobieżny.  </w:t>
            </w:r>
          </w:p>
          <w:p w14:paraId="5B46C436" w14:textId="0ADB49B9" w:rsidR="00B11B8A" w:rsidRDefault="00000000">
            <w:pPr>
              <w:spacing w:line="360" w:lineRule="auto"/>
              <w:ind w:left="0" w:hanging="2"/>
              <w:jc w:val="both"/>
            </w:pPr>
            <w:r>
              <w:t>4</w:t>
            </w:r>
            <w:r w:rsidR="00A87E42">
              <w:t>,0 – S</w:t>
            </w:r>
            <w:r>
              <w:t>tu</w:t>
            </w:r>
            <w:r w:rsidR="00A87E42">
              <w:t>de</w:t>
            </w:r>
            <w:r>
              <w:t>n</w:t>
            </w:r>
            <w:r w:rsidR="00A87E42">
              <w:t>t</w:t>
            </w:r>
            <w:r>
              <w:t xml:space="preserve"> był obecny na zajęciach oraz wykazywał w ich trakcie aktywność. Student przygotował i wygłosił referat, jednak nie zastosował żadnej z metod aktywizujących w trakcie przeprowadzania ćwiczenia dydaktycznego.</w:t>
            </w:r>
          </w:p>
          <w:p w14:paraId="740C9F37" w14:textId="50ABECAD" w:rsidR="00B11B8A" w:rsidRPr="00A87E42" w:rsidRDefault="00000000" w:rsidP="00A87E42">
            <w:pPr>
              <w:spacing w:line="360" w:lineRule="auto"/>
              <w:ind w:left="0" w:hanging="2"/>
              <w:jc w:val="both"/>
            </w:pPr>
            <w:r>
              <w:t>5</w:t>
            </w:r>
            <w:r w:rsidR="00A87E42">
              <w:t>,0</w:t>
            </w:r>
            <w:r>
              <w:t xml:space="preserve"> </w:t>
            </w:r>
            <w:r w:rsidR="00A87E42">
              <w:t xml:space="preserve">– </w:t>
            </w:r>
            <w:r>
              <w:t>Student był obecny na zajęciach oraz wykazywał w ich trakcie aktywność. Student przygotował referat w sposób dokładny</w:t>
            </w:r>
            <w:r w:rsidR="00A87E42">
              <w:t xml:space="preserve"> uwzględniając </w:t>
            </w:r>
            <w:r>
              <w:t>najważniejsze aspekty merytoryczne referowanego zagadnienia. Student przeprowadził wraz z resztą grupy ćwiczenie dydaktyczne z wykorzystaniem co najmniej jednej metody aktywizującej.</w:t>
            </w:r>
          </w:p>
        </w:tc>
      </w:tr>
    </w:tbl>
    <w:p w14:paraId="36BEED23" w14:textId="77777777" w:rsidR="00B11B8A" w:rsidRDefault="00B11B8A" w:rsidP="00A87E4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a"/>
        <w:tblW w:w="9640" w:type="dxa"/>
        <w:tblInd w:w="-142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B11B8A" w14:paraId="10FF6C43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559C2903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57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62DE3500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01A423D6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1E8FD90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52545DA2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0998E9A8" w14:textId="77777777" w:rsidR="00B11B8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Treści merytoryczne (wykaz tematów)</w:t>
      </w:r>
    </w:p>
    <w:p w14:paraId="4A488D13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b"/>
        <w:tblW w:w="9622" w:type="dxa"/>
        <w:tblInd w:w="-14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B11B8A" w14:paraId="03343F3F" w14:textId="77777777">
        <w:trPr>
          <w:trHeight w:val="1136"/>
        </w:trPr>
        <w:tc>
          <w:tcPr>
            <w:tcW w:w="9622" w:type="dxa"/>
          </w:tcPr>
          <w:p w14:paraId="5C58F0D6" w14:textId="77777777" w:rsidR="00B11B8A" w:rsidRDefault="00000000">
            <w:pPr>
              <w:spacing w:line="360" w:lineRule="auto"/>
              <w:ind w:left="0" w:hanging="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Tematy zajęć:</w:t>
            </w:r>
          </w:p>
          <w:p w14:paraId="723AC50B" w14:textId="3692320D" w:rsidR="008C003F" w:rsidRDefault="008C003F" w:rsidP="008C003F">
            <w:pPr>
              <w:pStyle w:val="Akapitzlist"/>
              <w:numPr>
                <w:ilvl w:val="0"/>
                <w:numId w:val="2"/>
              </w:numPr>
              <w:spacing w:line="360" w:lineRule="auto"/>
              <w:ind w:leftChars="0" w:firstLineChars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Zajęcia </w:t>
            </w:r>
            <w:r w:rsidR="00A87E42">
              <w:rPr>
                <w:sz w:val="22"/>
                <w:szCs w:val="22"/>
              </w:rPr>
              <w:t>wprowadzające: omówienie problematyki zajęć, literatury i warunków zaliczenia.</w:t>
            </w:r>
          </w:p>
          <w:p w14:paraId="729A8E1F" w14:textId="743B91BC" w:rsidR="008C003F" w:rsidRDefault="00000000" w:rsidP="008C003F">
            <w:pPr>
              <w:pStyle w:val="Akapitzlist"/>
              <w:numPr>
                <w:ilvl w:val="0"/>
                <w:numId w:val="2"/>
              </w:numPr>
              <w:spacing w:line="360" w:lineRule="auto"/>
              <w:ind w:leftChars="0" w:firstLineChars="0"/>
              <w:jc w:val="both"/>
              <w:rPr>
                <w:sz w:val="22"/>
                <w:szCs w:val="22"/>
              </w:rPr>
            </w:pPr>
            <w:r w:rsidRPr="008C003F">
              <w:rPr>
                <w:sz w:val="22"/>
                <w:szCs w:val="22"/>
              </w:rPr>
              <w:t xml:space="preserve">Dziedzictwo </w:t>
            </w:r>
            <w:proofErr w:type="spellStart"/>
            <w:r w:rsidRPr="008C003F">
              <w:rPr>
                <w:sz w:val="22"/>
                <w:szCs w:val="22"/>
              </w:rPr>
              <w:t>Belle</w:t>
            </w:r>
            <w:proofErr w:type="spellEnd"/>
            <w:r w:rsidRPr="008C003F">
              <w:rPr>
                <w:sz w:val="22"/>
                <w:szCs w:val="22"/>
              </w:rPr>
              <w:t xml:space="preserve"> </w:t>
            </w:r>
            <w:proofErr w:type="spellStart"/>
            <w:r w:rsidRPr="008C003F">
              <w:rPr>
                <w:sz w:val="22"/>
                <w:szCs w:val="22"/>
              </w:rPr>
              <w:t>époque</w:t>
            </w:r>
            <w:proofErr w:type="spellEnd"/>
            <w:r w:rsidR="00A87E42">
              <w:rPr>
                <w:sz w:val="22"/>
                <w:szCs w:val="22"/>
              </w:rPr>
              <w:t>.</w:t>
            </w:r>
          </w:p>
          <w:p w14:paraId="0E241010" w14:textId="3877D8BC" w:rsidR="008C003F" w:rsidRDefault="00000000" w:rsidP="008C003F">
            <w:pPr>
              <w:pStyle w:val="Akapitzlist"/>
              <w:numPr>
                <w:ilvl w:val="0"/>
                <w:numId w:val="2"/>
              </w:numPr>
              <w:spacing w:line="360" w:lineRule="auto"/>
              <w:ind w:leftChars="0" w:firstLineChars="0"/>
              <w:jc w:val="both"/>
              <w:rPr>
                <w:sz w:val="22"/>
                <w:szCs w:val="22"/>
              </w:rPr>
            </w:pPr>
            <w:r w:rsidRPr="008C003F">
              <w:rPr>
                <w:sz w:val="22"/>
                <w:szCs w:val="22"/>
              </w:rPr>
              <w:t>Postimpresjonizm</w:t>
            </w:r>
            <w:r w:rsidR="00A87E42">
              <w:rPr>
                <w:sz w:val="22"/>
                <w:szCs w:val="22"/>
              </w:rPr>
              <w:t>.</w:t>
            </w:r>
          </w:p>
          <w:p w14:paraId="32F4BD29" w14:textId="68C2706C" w:rsidR="008C003F" w:rsidRDefault="00000000" w:rsidP="008C003F">
            <w:pPr>
              <w:pStyle w:val="Akapitzlist"/>
              <w:numPr>
                <w:ilvl w:val="0"/>
                <w:numId w:val="2"/>
              </w:numPr>
              <w:spacing w:line="360" w:lineRule="auto"/>
              <w:ind w:leftChars="0" w:firstLineChars="0"/>
              <w:jc w:val="both"/>
              <w:rPr>
                <w:sz w:val="22"/>
                <w:szCs w:val="22"/>
              </w:rPr>
            </w:pPr>
            <w:r w:rsidRPr="008C003F">
              <w:rPr>
                <w:sz w:val="22"/>
                <w:szCs w:val="22"/>
              </w:rPr>
              <w:t>Modernizm</w:t>
            </w:r>
            <w:r w:rsidR="00A87E42">
              <w:rPr>
                <w:sz w:val="22"/>
                <w:szCs w:val="22"/>
              </w:rPr>
              <w:t>.</w:t>
            </w:r>
          </w:p>
          <w:p w14:paraId="4CF88742" w14:textId="065FCE0F" w:rsidR="008C003F" w:rsidRDefault="00000000" w:rsidP="008C003F">
            <w:pPr>
              <w:pStyle w:val="Akapitzlist"/>
              <w:numPr>
                <w:ilvl w:val="0"/>
                <w:numId w:val="2"/>
              </w:numPr>
              <w:spacing w:line="360" w:lineRule="auto"/>
              <w:ind w:leftChars="0" w:firstLineChars="0"/>
              <w:jc w:val="both"/>
              <w:rPr>
                <w:sz w:val="22"/>
                <w:szCs w:val="22"/>
              </w:rPr>
            </w:pPr>
            <w:r w:rsidRPr="008C003F">
              <w:rPr>
                <w:sz w:val="22"/>
                <w:szCs w:val="22"/>
              </w:rPr>
              <w:t>Pierwsza Awangarda</w:t>
            </w:r>
            <w:r w:rsidR="00A87E42">
              <w:rPr>
                <w:sz w:val="22"/>
                <w:szCs w:val="22"/>
              </w:rPr>
              <w:t>.</w:t>
            </w:r>
          </w:p>
          <w:p w14:paraId="42ECB7E3" w14:textId="48C369BF" w:rsidR="008C003F" w:rsidRDefault="00000000" w:rsidP="008C003F">
            <w:pPr>
              <w:pStyle w:val="Akapitzlist"/>
              <w:numPr>
                <w:ilvl w:val="0"/>
                <w:numId w:val="2"/>
              </w:numPr>
              <w:spacing w:line="360" w:lineRule="auto"/>
              <w:ind w:leftChars="0" w:firstLineChars="0"/>
              <w:jc w:val="both"/>
              <w:rPr>
                <w:sz w:val="22"/>
                <w:szCs w:val="22"/>
              </w:rPr>
            </w:pPr>
            <w:r w:rsidRPr="008C003F">
              <w:rPr>
                <w:sz w:val="22"/>
                <w:szCs w:val="22"/>
              </w:rPr>
              <w:t>Dadaizm, Konstruktywizm</w:t>
            </w:r>
            <w:r w:rsidR="00A87E42">
              <w:rPr>
                <w:sz w:val="22"/>
                <w:szCs w:val="22"/>
              </w:rPr>
              <w:t>.</w:t>
            </w:r>
          </w:p>
          <w:p w14:paraId="78FBE96B" w14:textId="77777777" w:rsidR="008C003F" w:rsidRDefault="00000000" w:rsidP="008C003F">
            <w:pPr>
              <w:pStyle w:val="Akapitzlist"/>
              <w:numPr>
                <w:ilvl w:val="0"/>
                <w:numId w:val="2"/>
              </w:numPr>
              <w:spacing w:line="360" w:lineRule="auto"/>
              <w:ind w:leftChars="0" w:firstLineChars="0"/>
              <w:jc w:val="both"/>
              <w:rPr>
                <w:sz w:val="22"/>
                <w:szCs w:val="22"/>
              </w:rPr>
            </w:pPr>
            <w:r w:rsidRPr="008C003F">
              <w:rPr>
                <w:sz w:val="22"/>
                <w:szCs w:val="22"/>
              </w:rPr>
              <w:t>Surrealizm.</w:t>
            </w:r>
          </w:p>
          <w:p w14:paraId="373386D9" w14:textId="0BBC9B88" w:rsidR="008C003F" w:rsidRDefault="00000000" w:rsidP="008C003F">
            <w:pPr>
              <w:pStyle w:val="Akapitzlist"/>
              <w:numPr>
                <w:ilvl w:val="0"/>
                <w:numId w:val="2"/>
              </w:numPr>
              <w:spacing w:line="360" w:lineRule="auto"/>
              <w:ind w:leftChars="0" w:firstLineChars="0"/>
              <w:jc w:val="both"/>
              <w:rPr>
                <w:sz w:val="22"/>
                <w:szCs w:val="22"/>
              </w:rPr>
            </w:pPr>
            <w:r w:rsidRPr="008C003F">
              <w:rPr>
                <w:sz w:val="22"/>
                <w:szCs w:val="22"/>
              </w:rPr>
              <w:t>Socrealizm</w:t>
            </w:r>
            <w:r w:rsidR="00A87E42">
              <w:rPr>
                <w:sz w:val="22"/>
                <w:szCs w:val="22"/>
              </w:rPr>
              <w:t>.</w:t>
            </w:r>
          </w:p>
          <w:p w14:paraId="48835E7A" w14:textId="244C23CC" w:rsidR="008C003F" w:rsidRDefault="00000000" w:rsidP="008C003F">
            <w:pPr>
              <w:pStyle w:val="Akapitzlist"/>
              <w:numPr>
                <w:ilvl w:val="0"/>
                <w:numId w:val="2"/>
              </w:numPr>
              <w:spacing w:line="360" w:lineRule="auto"/>
              <w:ind w:leftChars="0" w:firstLineChars="0"/>
              <w:jc w:val="both"/>
              <w:rPr>
                <w:sz w:val="22"/>
                <w:szCs w:val="22"/>
              </w:rPr>
            </w:pPr>
            <w:proofErr w:type="spellStart"/>
            <w:r w:rsidRPr="008C003F">
              <w:rPr>
                <w:sz w:val="22"/>
                <w:szCs w:val="22"/>
              </w:rPr>
              <w:t>Living</w:t>
            </w:r>
            <w:proofErr w:type="spellEnd"/>
            <w:r w:rsidRPr="008C003F">
              <w:rPr>
                <w:sz w:val="22"/>
                <w:szCs w:val="22"/>
              </w:rPr>
              <w:t xml:space="preserve"> </w:t>
            </w:r>
            <w:r w:rsidR="008C003F">
              <w:rPr>
                <w:sz w:val="22"/>
                <w:szCs w:val="22"/>
              </w:rPr>
              <w:t>art.</w:t>
            </w:r>
          </w:p>
          <w:p w14:paraId="7B500ADD" w14:textId="2F441320" w:rsidR="008C003F" w:rsidRDefault="00000000" w:rsidP="008C003F">
            <w:pPr>
              <w:pStyle w:val="Akapitzlist"/>
              <w:numPr>
                <w:ilvl w:val="0"/>
                <w:numId w:val="2"/>
              </w:numPr>
              <w:spacing w:line="360" w:lineRule="auto"/>
              <w:ind w:leftChars="0" w:firstLineChars="0"/>
              <w:jc w:val="both"/>
              <w:rPr>
                <w:sz w:val="22"/>
                <w:szCs w:val="22"/>
              </w:rPr>
            </w:pPr>
            <w:r w:rsidRPr="008C003F">
              <w:rPr>
                <w:sz w:val="22"/>
                <w:szCs w:val="22"/>
              </w:rPr>
              <w:t>Kicz i Pop-</w:t>
            </w:r>
            <w:r w:rsidR="008C003F">
              <w:rPr>
                <w:sz w:val="22"/>
                <w:szCs w:val="22"/>
              </w:rPr>
              <w:t>art.</w:t>
            </w:r>
          </w:p>
          <w:p w14:paraId="1F4DD419" w14:textId="5DA76D65" w:rsidR="008C003F" w:rsidRDefault="00000000" w:rsidP="008C003F">
            <w:pPr>
              <w:pStyle w:val="Akapitzlist"/>
              <w:numPr>
                <w:ilvl w:val="0"/>
                <w:numId w:val="2"/>
              </w:numPr>
              <w:spacing w:line="360" w:lineRule="auto"/>
              <w:ind w:leftChars="0" w:firstLineChars="0"/>
              <w:jc w:val="both"/>
              <w:rPr>
                <w:sz w:val="22"/>
                <w:szCs w:val="22"/>
              </w:rPr>
            </w:pPr>
            <w:r w:rsidRPr="008C003F">
              <w:rPr>
                <w:sz w:val="22"/>
                <w:szCs w:val="22"/>
              </w:rPr>
              <w:t>Druga Awangarda</w:t>
            </w:r>
            <w:r w:rsidR="00A87E42">
              <w:rPr>
                <w:sz w:val="22"/>
                <w:szCs w:val="22"/>
              </w:rPr>
              <w:t>.</w:t>
            </w:r>
          </w:p>
          <w:p w14:paraId="63C85872" w14:textId="54220754" w:rsidR="008C003F" w:rsidRDefault="00000000" w:rsidP="008C003F">
            <w:pPr>
              <w:pStyle w:val="Akapitzlist"/>
              <w:numPr>
                <w:ilvl w:val="0"/>
                <w:numId w:val="2"/>
              </w:numPr>
              <w:spacing w:line="360" w:lineRule="auto"/>
              <w:ind w:leftChars="0" w:firstLineChars="0"/>
              <w:jc w:val="both"/>
              <w:rPr>
                <w:sz w:val="22"/>
                <w:szCs w:val="22"/>
              </w:rPr>
            </w:pPr>
            <w:r w:rsidRPr="008C003F">
              <w:rPr>
                <w:sz w:val="22"/>
                <w:szCs w:val="22"/>
              </w:rPr>
              <w:t xml:space="preserve">Konceptualizm, </w:t>
            </w:r>
            <w:proofErr w:type="spellStart"/>
            <w:r w:rsidRPr="008C003F">
              <w:rPr>
                <w:sz w:val="22"/>
                <w:szCs w:val="22"/>
              </w:rPr>
              <w:t>minimal</w:t>
            </w:r>
            <w:proofErr w:type="spellEnd"/>
            <w:r w:rsidRPr="008C003F">
              <w:rPr>
                <w:sz w:val="22"/>
                <w:szCs w:val="22"/>
              </w:rPr>
              <w:t xml:space="preserve"> </w:t>
            </w:r>
            <w:r w:rsidR="008C003F">
              <w:rPr>
                <w:sz w:val="22"/>
                <w:szCs w:val="22"/>
              </w:rPr>
              <w:t>art.</w:t>
            </w:r>
          </w:p>
          <w:p w14:paraId="75BDA269" w14:textId="7B1CB659" w:rsidR="008C003F" w:rsidRDefault="00000000" w:rsidP="008C003F">
            <w:pPr>
              <w:pStyle w:val="Akapitzlist"/>
              <w:numPr>
                <w:ilvl w:val="0"/>
                <w:numId w:val="2"/>
              </w:numPr>
              <w:spacing w:line="360" w:lineRule="auto"/>
              <w:ind w:leftChars="0" w:firstLineChars="0"/>
              <w:jc w:val="both"/>
              <w:rPr>
                <w:sz w:val="22"/>
                <w:szCs w:val="22"/>
              </w:rPr>
            </w:pPr>
            <w:r w:rsidRPr="008C003F">
              <w:rPr>
                <w:sz w:val="22"/>
                <w:szCs w:val="22"/>
              </w:rPr>
              <w:t>Postmodernizm</w:t>
            </w:r>
            <w:r w:rsidR="00A87E42">
              <w:rPr>
                <w:sz w:val="22"/>
                <w:szCs w:val="22"/>
              </w:rPr>
              <w:t>.</w:t>
            </w:r>
          </w:p>
          <w:p w14:paraId="366EE1A2" w14:textId="178C5B70" w:rsidR="008C003F" w:rsidRDefault="00000000" w:rsidP="008C003F">
            <w:pPr>
              <w:pStyle w:val="Akapitzlist"/>
              <w:numPr>
                <w:ilvl w:val="0"/>
                <w:numId w:val="2"/>
              </w:numPr>
              <w:spacing w:line="360" w:lineRule="auto"/>
              <w:ind w:leftChars="0" w:firstLineChars="0"/>
              <w:jc w:val="both"/>
              <w:rPr>
                <w:sz w:val="22"/>
                <w:szCs w:val="22"/>
              </w:rPr>
            </w:pPr>
            <w:r w:rsidRPr="008C003F">
              <w:rPr>
                <w:sz w:val="22"/>
                <w:szCs w:val="22"/>
              </w:rPr>
              <w:t>Kino i telewizja XX wieku</w:t>
            </w:r>
            <w:r w:rsidR="00A87E42">
              <w:rPr>
                <w:sz w:val="22"/>
                <w:szCs w:val="22"/>
              </w:rPr>
              <w:t>.</w:t>
            </w:r>
          </w:p>
          <w:p w14:paraId="32550882" w14:textId="5E0E7CAC" w:rsidR="00B11B8A" w:rsidRPr="008C003F" w:rsidRDefault="00000000" w:rsidP="008C003F">
            <w:pPr>
              <w:pStyle w:val="Akapitzlist"/>
              <w:numPr>
                <w:ilvl w:val="0"/>
                <w:numId w:val="2"/>
              </w:numPr>
              <w:spacing w:line="360" w:lineRule="auto"/>
              <w:ind w:leftChars="0" w:firstLineChars="0"/>
              <w:jc w:val="both"/>
              <w:rPr>
                <w:sz w:val="22"/>
                <w:szCs w:val="22"/>
              </w:rPr>
            </w:pPr>
            <w:r w:rsidRPr="008C003F">
              <w:rPr>
                <w:sz w:val="22"/>
                <w:szCs w:val="22"/>
              </w:rPr>
              <w:t xml:space="preserve">Street </w:t>
            </w:r>
            <w:r w:rsidR="00A87E42">
              <w:rPr>
                <w:sz w:val="22"/>
                <w:szCs w:val="22"/>
              </w:rPr>
              <w:t>art.</w:t>
            </w:r>
          </w:p>
        </w:tc>
      </w:tr>
    </w:tbl>
    <w:p w14:paraId="066AFA1B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51098359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7500DE3D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3D5AB0D0" w14:textId="77777777" w:rsidR="00B11B8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Wykaz literatury podstawowej</w:t>
      </w:r>
    </w:p>
    <w:p w14:paraId="5B3DEFB5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c"/>
        <w:tblW w:w="9622" w:type="dxa"/>
        <w:tblInd w:w="-14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B11B8A" w14:paraId="6DB20C8C" w14:textId="77777777">
        <w:trPr>
          <w:trHeight w:val="1098"/>
        </w:trPr>
        <w:tc>
          <w:tcPr>
            <w:tcW w:w="9622" w:type="dxa"/>
          </w:tcPr>
          <w:p w14:paraId="7221CBEA" w14:textId="77777777" w:rsidR="00B11B8A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Literatura podstawowa:</w:t>
            </w:r>
          </w:p>
          <w:p w14:paraId="1598D60F" w14:textId="77777777" w:rsidR="00B11B8A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Albera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F.,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Studia nad kinem a historia sztuki</w:t>
            </w:r>
            <w:r>
              <w:rPr>
                <w:rFonts w:ascii="Arial" w:eastAsia="Arial" w:hAnsi="Arial" w:cs="Arial"/>
                <w:sz w:val="22"/>
                <w:szCs w:val="22"/>
              </w:rPr>
              <w:t>, „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Artium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Quaestiones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” 2020, nr 31, s.237-276.</w:t>
            </w:r>
          </w:p>
          <w:p w14:paraId="2358AF47" w14:textId="77777777" w:rsidR="00B11B8A" w:rsidRDefault="00000000">
            <w:pPr>
              <w:spacing w:line="276" w:lineRule="auto"/>
              <w:ind w:left="0" w:hanging="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D"Alleva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A.,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Metody i teorie historii sztuki</w:t>
            </w:r>
            <w:r>
              <w:rPr>
                <w:rFonts w:ascii="Arial" w:eastAsia="Arial" w:hAnsi="Arial" w:cs="Arial"/>
                <w:sz w:val="22"/>
                <w:szCs w:val="22"/>
              </w:rPr>
              <w:t>, Kraków 2008.</w:t>
            </w:r>
          </w:p>
          <w:p w14:paraId="1C49089E" w14:textId="77777777" w:rsidR="00B11B8A" w:rsidRDefault="00000000">
            <w:pPr>
              <w:spacing w:line="276" w:lineRule="auto"/>
              <w:ind w:left="0" w:hanging="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Dziamski G.,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 xml:space="preserve">Awangarda po awangardzie. Od </w:t>
            </w:r>
            <w:proofErr w:type="spellStart"/>
            <w:r>
              <w:rPr>
                <w:rFonts w:ascii="Arial" w:eastAsia="Arial" w:hAnsi="Arial" w:cs="Arial"/>
                <w:i/>
                <w:sz w:val="22"/>
                <w:szCs w:val="22"/>
              </w:rPr>
              <w:t>neoawangardy</w:t>
            </w:r>
            <w:proofErr w:type="spellEnd"/>
            <w:r>
              <w:rPr>
                <w:rFonts w:ascii="Arial" w:eastAsia="Arial" w:hAnsi="Arial" w:cs="Arial"/>
                <w:i/>
                <w:sz w:val="22"/>
                <w:szCs w:val="22"/>
              </w:rPr>
              <w:t xml:space="preserve"> do postmodernizmu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, Poznań 1995. </w:t>
            </w:r>
          </w:p>
          <w:p w14:paraId="38DC565D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Kobylińska,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 xml:space="preserve">Awangardowa klisza. Polska fotografia w dwudziestoleciu międzywojennym, </w:t>
            </w:r>
            <w:r>
              <w:rPr>
                <w:rFonts w:ascii="Arial" w:eastAsia="Arial" w:hAnsi="Arial" w:cs="Arial"/>
                <w:sz w:val="22"/>
                <w:szCs w:val="22"/>
              </w:rPr>
              <w:t>Warszawa 2021. (fragmenty)</w:t>
            </w:r>
          </w:p>
          <w:p w14:paraId="77E9F3C4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Pieńkos A. (red.),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 xml:space="preserve">Około 1900 – inne spojrzenia. Marginalia polskiej sztuki i kultury, </w:t>
            </w:r>
            <w:r>
              <w:rPr>
                <w:rFonts w:ascii="Arial" w:eastAsia="Arial" w:hAnsi="Arial" w:cs="Arial"/>
                <w:sz w:val="22"/>
                <w:szCs w:val="22"/>
              </w:rPr>
              <w:t>Warszawa 2024.</w:t>
            </w:r>
          </w:p>
          <w:p w14:paraId="65399911" w14:textId="77777777" w:rsidR="00B11B8A" w:rsidRDefault="00000000">
            <w:pPr>
              <w:spacing w:line="276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Piotrowski P.,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Awangarda w cieniu Jałty. Sztuka w Europie Środkowo-Wschodniej,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1945–1989,Poznań 2005 (fragmenty)</w:t>
            </w:r>
          </w:p>
        </w:tc>
      </w:tr>
    </w:tbl>
    <w:p w14:paraId="62983BDC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053D616F" w14:textId="77777777" w:rsidR="00B11B8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Wykaz literatury uzupełniającej</w:t>
      </w:r>
    </w:p>
    <w:p w14:paraId="1ECF9221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d"/>
        <w:tblW w:w="9622" w:type="dxa"/>
        <w:tblInd w:w="-14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B11B8A" w14:paraId="2A08C2CA" w14:textId="77777777">
        <w:trPr>
          <w:trHeight w:val="1112"/>
        </w:trPr>
        <w:tc>
          <w:tcPr>
            <w:tcW w:w="9622" w:type="dxa"/>
          </w:tcPr>
          <w:p w14:paraId="1C25B550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Literatura uzupełniająca:</w:t>
            </w:r>
          </w:p>
          <w:p w14:paraId="6DA96FD0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Bürger P.,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Teoria awangardy</w:t>
            </w:r>
            <w:r>
              <w:rPr>
                <w:rFonts w:ascii="Arial" w:eastAsia="Arial" w:hAnsi="Arial" w:cs="Arial"/>
                <w:sz w:val="22"/>
                <w:szCs w:val="22"/>
              </w:rPr>
              <w:t>, Kraków 2005.</w:t>
            </w:r>
          </w:p>
          <w:p w14:paraId="18336FC8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Janicka K., Surrealizm, Warszawa 1973.</w:t>
            </w:r>
          </w:p>
          <w:p w14:paraId="085410D2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Jencks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Ch., Architektura postmodernistyczna, Warszawa 1987</w:t>
            </w:r>
          </w:p>
          <w:p w14:paraId="1C15EE81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Kotula A., Krakowski P., Malarstwo, rzeźba, architektura. Wybrane zagadnienia plastyki współczesnej, Warszawa 1972.</w:t>
            </w:r>
          </w:p>
          <w:p w14:paraId="106B96C5" w14:textId="77777777" w:rsidR="00B11B8A" w:rsidRDefault="00000000">
            <w:pPr>
              <w:spacing w:line="276" w:lineRule="auto"/>
              <w:ind w:left="0" w:hanging="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eastAsia="Arial" w:hAnsi="Arial" w:cs="Arial"/>
                <w:sz w:val="22"/>
                <w:szCs w:val="22"/>
              </w:rPr>
              <w:t>Nader</w:t>
            </w:r>
            <w:proofErr w:type="gramEnd"/>
            <w:r>
              <w:rPr>
                <w:rFonts w:ascii="Arial" w:eastAsia="Arial" w:hAnsi="Arial" w:cs="Arial"/>
                <w:sz w:val="22"/>
                <w:szCs w:val="22"/>
              </w:rPr>
              <w:t xml:space="preserve"> L.,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 xml:space="preserve">Afektywna historia sztuki,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„Teksty drugie” 2014, t.1, s.14-40. </w:t>
            </w:r>
          </w:p>
          <w:p w14:paraId="0A83B71F" w14:textId="77777777" w:rsidR="00B11B8A" w:rsidRPr="008C003F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  <w:lang w:val="en-US"/>
              </w:rPr>
            </w:pPr>
            <w:r w:rsidRPr="008C003F">
              <w:rPr>
                <w:rFonts w:ascii="Arial" w:eastAsia="Arial" w:hAnsi="Arial" w:cs="Arial"/>
                <w:sz w:val="22"/>
                <w:szCs w:val="22"/>
                <w:lang w:val="en-US"/>
              </w:rPr>
              <w:t>Piotrowski P.,</w:t>
            </w:r>
            <w:r w:rsidRPr="008C003F">
              <w:rPr>
                <w:rFonts w:ascii="Arial" w:eastAsia="Arial" w:hAnsi="Arial" w:cs="Arial"/>
                <w:i/>
                <w:sz w:val="22"/>
                <w:szCs w:val="22"/>
                <w:lang w:val="en-US"/>
              </w:rPr>
              <w:t xml:space="preserve"> Post-modernism and </w:t>
            </w:r>
            <w:proofErr w:type="gramStart"/>
            <w:r w:rsidRPr="008C003F">
              <w:rPr>
                <w:rFonts w:ascii="Arial" w:eastAsia="Arial" w:hAnsi="Arial" w:cs="Arial"/>
                <w:i/>
                <w:sz w:val="22"/>
                <w:szCs w:val="22"/>
                <w:lang w:val="en-US"/>
              </w:rPr>
              <w:t>Post-totalitarianism</w:t>
            </w:r>
            <w:proofErr w:type="gramEnd"/>
            <w:r w:rsidRPr="008C003F">
              <w:rPr>
                <w:rFonts w:ascii="Arial" w:eastAsia="Arial" w:hAnsi="Arial" w:cs="Arial"/>
                <w:i/>
                <w:sz w:val="22"/>
                <w:szCs w:val="22"/>
                <w:lang w:val="en-US"/>
              </w:rPr>
              <w:t>. The Poland Case of the 1970s</w:t>
            </w:r>
            <w:r w:rsidRPr="008C003F">
              <w:rPr>
                <w:rFonts w:ascii="Arial" w:eastAsia="Arial" w:hAnsi="Arial" w:cs="Arial"/>
                <w:sz w:val="22"/>
                <w:szCs w:val="22"/>
                <w:lang w:val="en-US"/>
              </w:rPr>
              <w:t>, „ARS” 1993, nr 2–3, s. 231–242.</w:t>
            </w:r>
          </w:p>
          <w:p w14:paraId="7A14D289" w14:textId="77777777" w:rsidR="00B11B8A" w:rsidRDefault="00000000">
            <w:pPr>
              <w:spacing w:line="276" w:lineRule="auto"/>
              <w:ind w:left="0" w:hanging="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Rose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B., 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>Malarstwo amerykańskie XX wieku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, Warszawa 1991. </w:t>
            </w:r>
          </w:p>
          <w:p w14:paraId="0BDDCD68" w14:textId="77777777" w:rsidR="00B11B8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 w:rsidRPr="008C003F">
              <w:rPr>
                <w:rFonts w:ascii="Arial" w:eastAsia="Arial" w:hAnsi="Arial" w:cs="Arial"/>
                <w:sz w:val="22"/>
                <w:szCs w:val="22"/>
                <w:lang w:val="en-US"/>
              </w:rPr>
              <w:t>Włodarczyk</w:t>
            </w:r>
            <w:proofErr w:type="spellEnd"/>
            <w:r w:rsidRPr="008C003F">
              <w:rPr>
                <w:rFonts w:ascii="Arial" w:eastAsia="Arial" w:hAnsi="Arial" w:cs="Arial"/>
                <w:sz w:val="22"/>
                <w:szCs w:val="22"/>
                <w:lang w:val="en-US"/>
              </w:rPr>
              <w:t xml:space="preserve"> W., </w:t>
            </w:r>
            <w:r w:rsidRPr="008C003F">
              <w:rPr>
                <w:rFonts w:ascii="Arial" w:eastAsia="Arial" w:hAnsi="Arial" w:cs="Arial"/>
                <w:i/>
                <w:sz w:val="22"/>
                <w:szCs w:val="22"/>
                <w:lang w:val="en-US"/>
              </w:rPr>
              <w:t>1989. On the Concept of Modernism</w:t>
            </w:r>
            <w:r w:rsidRPr="008C003F">
              <w:rPr>
                <w:rFonts w:ascii="Arial" w:eastAsia="Arial" w:hAnsi="Arial" w:cs="Arial"/>
                <w:sz w:val="22"/>
                <w:szCs w:val="22"/>
                <w:lang w:val="en-US"/>
              </w:rPr>
              <w:t xml:space="preserve">. </w:t>
            </w:r>
            <w:r>
              <w:rPr>
                <w:rFonts w:ascii="Arial" w:eastAsia="Arial" w:hAnsi="Arial" w:cs="Arial"/>
                <w:sz w:val="22"/>
                <w:szCs w:val="22"/>
              </w:rPr>
              <w:t>„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Artium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Quaestiones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”</w:t>
            </w:r>
            <w:r>
              <w:rPr>
                <w:rFonts w:ascii="Arial" w:eastAsia="Arial" w:hAnsi="Arial" w:cs="Arial"/>
                <w:i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2019, nr 30, s. 257–270.</w:t>
            </w:r>
          </w:p>
          <w:p w14:paraId="571DB72B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2D2594E1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15CD38E2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7D0BF1F7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4E4E95F4" w14:textId="77777777" w:rsidR="00B11B8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Bilans godzinowy zgodny z CNPS (Całkowity Nakład Pracy Studenta)</w:t>
      </w:r>
    </w:p>
    <w:p w14:paraId="37DB89FB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e"/>
        <w:tblW w:w="9582" w:type="dxa"/>
        <w:tblInd w:w="-108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66"/>
      </w:tblGrid>
      <w:tr w:rsidR="00B11B8A" w14:paraId="4001B79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C4941F0" w14:textId="77777777" w:rsidR="00B11B8A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217399A3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color w:val="000000"/>
                <w:sz w:val="22"/>
                <w:szCs w:val="22"/>
              </w:rPr>
              <w:t>Wykład</w:t>
            </w:r>
          </w:p>
        </w:tc>
        <w:tc>
          <w:tcPr>
            <w:tcW w:w="1066" w:type="dxa"/>
            <w:vAlign w:val="center"/>
          </w:tcPr>
          <w:p w14:paraId="6AD9C905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B11B8A" w14:paraId="10B493BC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1CED99A4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14:paraId="622BE45F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color w:val="000000"/>
                <w:sz w:val="22"/>
                <w:szCs w:val="22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8E4E867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color w:val="000000"/>
                <w:sz w:val="22"/>
                <w:szCs w:val="22"/>
              </w:rPr>
              <w:t>30</w:t>
            </w:r>
          </w:p>
        </w:tc>
      </w:tr>
      <w:tr w:rsidR="00B11B8A" w14:paraId="3E31F680" w14:textId="77777777">
        <w:trPr>
          <w:cantSplit/>
          <w:trHeight w:val="670"/>
        </w:trPr>
        <w:tc>
          <w:tcPr>
            <w:tcW w:w="2766" w:type="dxa"/>
            <w:vMerge/>
            <w:shd w:val="clear" w:color="auto" w:fill="DBE5F1"/>
            <w:vAlign w:val="center"/>
          </w:tcPr>
          <w:p w14:paraId="7A943E61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2429FA17" w14:textId="77777777" w:rsidR="00B11B8A" w:rsidRPr="00A3726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color w:val="000000"/>
                <w:sz w:val="22"/>
                <w:szCs w:val="22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96BF8BA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B11B8A" w14:paraId="037A948F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1DCA5AF4" w14:textId="77777777" w:rsidR="00B11B8A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770FFCEF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color w:val="000000"/>
                <w:sz w:val="22"/>
                <w:szCs w:val="22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3B6742CD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sz w:val="22"/>
                <w:szCs w:val="22"/>
              </w:rPr>
              <w:t>20</w:t>
            </w:r>
          </w:p>
        </w:tc>
      </w:tr>
      <w:tr w:rsidR="00B11B8A" w14:paraId="50F19699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10A1DC83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14:paraId="2C9547A9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color w:val="000000"/>
                <w:sz w:val="22"/>
                <w:szCs w:val="22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5EAEF77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</w:tr>
      <w:tr w:rsidR="00B11B8A" w14:paraId="778790B3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F2B5AD9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14:paraId="1D492CEC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color w:val="000000"/>
                <w:sz w:val="22"/>
                <w:szCs w:val="22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1B4D1767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sz w:val="22"/>
                <w:szCs w:val="22"/>
              </w:rPr>
              <w:t>5</w:t>
            </w:r>
          </w:p>
        </w:tc>
      </w:tr>
      <w:tr w:rsidR="00B11B8A" w14:paraId="4EB2CD2A" w14:textId="77777777">
        <w:trPr>
          <w:cantSplit/>
          <w:trHeight w:val="365"/>
        </w:trPr>
        <w:tc>
          <w:tcPr>
            <w:tcW w:w="2766" w:type="dxa"/>
            <w:vMerge/>
            <w:shd w:val="clear" w:color="auto" w:fill="DBE5F1"/>
            <w:vAlign w:val="center"/>
          </w:tcPr>
          <w:p w14:paraId="26C70B68" w14:textId="77777777" w:rsidR="00B11B8A" w:rsidRDefault="00B1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D0D494E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color w:val="000000"/>
                <w:sz w:val="22"/>
                <w:szCs w:val="22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1C21BD7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sz w:val="22"/>
                <w:szCs w:val="22"/>
              </w:rPr>
              <w:t>0</w:t>
            </w:r>
          </w:p>
        </w:tc>
      </w:tr>
      <w:tr w:rsidR="00B11B8A" w14:paraId="782BFAC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C7597BA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color w:val="000000"/>
                <w:sz w:val="22"/>
                <w:szCs w:val="22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064AA1C0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sz w:val="22"/>
                <w:szCs w:val="22"/>
              </w:rPr>
              <w:t>60</w:t>
            </w:r>
          </w:p>
        </w:tc>
      </w:tr>
      <w:tr w:rsidR="00B11B8A" w14:paraId="7A6656F8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A4138DA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color w:val="000000"/>
                <w:sz w:val="22"/>
                <w:szCs w:val="22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432EEDD2" w14:textId="77777777" w:rsidR="00B11B8A" w:rsidRPr="00A3726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A37264">
              <w:rPr>
                <w:rFonts w:ascii="Arial" w:eastAsia="Arial" w:hAnsi="Arial" w:cs="Arial"/>
                <w:sz w:val="22"/>
                <w:szCs w:val="22"/>
              </w:rPr>
              <w:t>2</w:t>
            </w:r>
          </w:p>
        </w:tc>
      </w:tr>
    </w:tbl>
    <w:p w14:paraId="43236573" w14:textId="77777777" w:rsidR="00B11B8A" w:rsidRDefault="00B11B8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sectPr w:rsidR="00B11B8A">
      <w:footerReference w:type="default" r:id="rId8"/>
      <w:headerReference w:type="first" r:id="rId9"/>
      <w:pgSz w:w="11905" w:h="16837"/>
      <w:pgMar w:top="1276" w:right="1134" w:bottom="1134" w:left="1134" w:header="454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D2700" w14:textId="77777777" w:rsidR="00AE36E4" w:rsidRDefault="00AE36E4">
      <w:pPr>
        <w:spacing w:line="240" w:lineRule="auto"/>
        <w:ind w:left="0" w:hanging="2"/>
      </w:pPr>
      <w:r>
        <w:separator/>
      </w:r>
    </w:p>
  </w:endnote>
  <w:endnote w:type="continuationSeparator" w:id="0">
    <w:p w14:paraId="7E2C947B" w14:textId="77777777" w:rsidR="00AE36E4" w:rsidRDefault="00AE36E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B8BFF" w14:textId="469845F0" w:rsidR="00B11B8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C003F">
      <w:rPr>
        <w:noProof/>
        <w:color w:val="000000"/>
      </w:rPr>
      <w:t>2</w:t>
    </w:r>
    <w:r>
      <w:rPr>
        <w:color w:val="000000"/>
      </w:rPr>
      <w:fldChar w:fldCharType="end"/>
    </w:r>
  </w:p>
  <w:p w14:paraId="25866511" w14:textId="77777777" w:rsidR="00B11B8A" w:rsidRDefault="00B11B8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03900" w14:textId="77777777" w:rsidR="00AE36E4" w:rsidRDefault="00AE36E4">
      <w:pPr>
        <w:spacing w:line="240" w:lineRule="auto"/>
        <w:ind w:left="0" w:hanging="2"/>
      </w:pPr>
      <w:r>
        <w:separator/>
      </w:r>
    </w:p>
  </w:footnote>
  <w:footnote w:type="continuationSeparator" w:id="0">
    <w:p w14:paraId="389E4159" w14:textId="77777777" w:rsidR="00AE36E4" w:rsidRDefault="00AE36E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0278C" w14:textId="77777777" w:rsidR="00B11B8A" w:rsidRDefault="00000000">
    <w:pPr>
      <w:keepNext/>
      <w:pBdr>
        <w:top w:val="nil"/>
        <w:left w:val="nil"/>
        <w:bottom w:val="nil"/>
        <w:right w:val="nil"/>
        <w:between w:val="nil"/>
      </w:pBdr>
      <w:spacing w:before="240" w:after="120"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  <w:u w:val="single"/>
      </w:rPr>
      <w:t>Załącznik nr 4 do zarządzenia nr RD.Z.0211.3.2021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834D3"/>
    <w:multiLevelType w:val="multilevel"/>
    <w:tmpl w:val="A052F11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B502C45"/>
    <w:multiLevelType w:val="multilevel"/>
    <w:tmpl w:val="32B6FC8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6A0638B0"/>
    <w:multiLevelType w:val="multilevel"/>
    <w:tmpl w:val="0F56CF3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01327863">
    <w:abstractNumId w:val="2"/>
  </w:num>
  <w:num w:numId="2" w16cid:durableId="1464229229">
    <w:abstractNumId w:val="1"/>
  </w:num>
  <w:num w:numId="3" w16cid:durableId="719061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B8A"/>
    <w:rsid w:val="002D7D6A"/>
    <w:rsid w:val="00522E6A"/>
    <w:rsid w:val="008C003F"/>
    <w:rsid w:val="00A37264"/>
    <w:rsid w:val="00A87E42"/>
    <w:rsid w:val="00AE36E4"/>
    <w:rsid w:val="00B11B8A"/>
    <w:rsid w:val="00B8272F"/>
    <w:rsid w:val="00DC3498"/>
    <w:rsid w:val="00E622E1"/>
    <w:rsid w:val="00E8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0B53BD"/>
  <w15:docId w15:val="{2776871E-1AF8-4143-AD9F-F6B6DC384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autoSpaceDE/>
      <w:jc w:val="center"/>
    </w:pPr>
    <w:rPr>
      <w:rFonts w:ascii="Verdana" w:hAnsi="Verdana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Znakinumeracji">
    <w:name w:val="Znaki numeracji"/>
    <w:rPr>
      <w:w w:val="100"/>
      <w:position w:val="-1"/>
      <w:effect w:val="none"/>
      <w:vertAlign w:val="baseline"/>
      <w:cs w:val="0"/>
      <w:em w:val="none"/>
    </w:rPr>
  </w:style>
  <w:style w:type="character" w:styleId="Numerstrony">
    <w:name w:val="page number"/>
    <w:rPr>
      <w:w w:val="100"/>
      <w:position w:val="-1"/>
      <w:sz w:val="14"/>
      <w:szCs w:val="14"/>
      <w:effect w:val="none"/>
      <w:vertAlign w:val="baseline"/>
      <w:cs w:val="0"/>
      <w:em w:val="none"/>
    </w:rPr>
  </w:style>
  <w:style w:type="paragraph" w:styleId="Tekstpodstawowy">
    <w:name w:val="Body Text"/>
    <w:basedOn w:val="Normalny"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kstkomentarza">
    <w:name w:val="annotation text"/>
    <w:basedOn w:val="Normalny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character" w:styleId="Odwoanieprzypisudolnego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ekstdymkaZnak">
    <w:name w:val="Tekst dymka Znak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kstkomentarzaZnak">
    <w:name w:val="Tekst komentarza Znak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customStyle="1" w:styleId="TematkomentarzaZnak">
    <w:name w:val="Temat komentarza Znak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NagwekZnak">
    <w:name w:val="Nagłówek Znak"/>
    <w:rPr>
      <w:rFonts w:ascii="Arial" w:hAnsi="Arial" w:cs="Arial"/>
      <w:w w:val="100"/>
      <w:position w:val="-1"/>
      <w:sz w:val="28"/>
      <w:szCs w:val="28"/>
      <w:effect w:val="none"/>
      <w:vertAlign w:val="baseline"/>
      <w:cs w:val="0"/>
      <w:em w:val="none"/>
    </w:rPr>
  </w:style>
  <w:style w:type="paragraph" w:styleId="NormalnyWeb">
    <w:name w:val="Normal (Web)"/>
    <w:basedOn w:val="Normalny"/>
    <w:qFormat/>
    <w:pPr>
      <w:widowControl/>
      <w:suppressAutoHyphens/>
      <w:autoSpaceDE/>
      <w:spacing w:before="100" w:beforeAutospacing="1" w:after="100" w:afterAutospacing="1"/>
    </w:pPr>
  </w:style>
  <w:style w:type="paragraph" w:styleId="Akapitzlist">
    <w:name w:val="List Paragraph"/>
    <w:basedOn w:val="Normalny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P22NoafyD0FviyuZmyPaS5UW4w==">CgMxLjA4AHIhMWU4RlR4OWY4QkFHSHVqc3VVOVprUWl6MUt5VV81bk1p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45ADDF3195B46A4DD796BAB975C65" ma:contentTypeVersion="6" ma:contentTypeDescription="Utwórz nowy dokument." ma:contentTypeScope="" ma:versionID="c623331f0f22f54444f882fe16809fcd">
  <xsd:schema xmlns:xsd="http://www.w3.org/2001/XMLSchema" xmlns:xs="http://www.w3.org/2001/XMLSchema" xmlns:p="http://schemas.microsoft.com/office/2006/metadata/properties" xmlns:ns2="c0957d92-7d93-46f8-b160-dc515789cc64" xmlns:ns3="63e10c4e-8f53-47f8-be17-d6f8fd5ed610" targetNamespace="http://schemas.microsoft.com/office/2006/metadata/properties" ma:root="true" ma:fieldsID="53b1ce6187ea9e4834cdb99062d4ebdb" ns2:_="" ns3:_="">
    <xsd:import namespace="c0957d92-7d93-46f8-b160-dc515789cc64"/>
    <xsd:import namespace="63e10c4e-8f53-47f8-be17-d6f8fd5ed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57d92-7d93-46f8-b160-dc515789cc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10c4e-8f53-47f8-be17-d6f8fd5ed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4A36C2E-4717-48B7-929E-F03638B1E5D8}"/>
</file>

<file path=customXml/itemProps3.xml><?xml version="1.0" encoding="utf-8"?>
<ds:datastoreItem xmlns:ds="http://schemas.openxmlformats.org/officeDocument/2006/customXml" ds:itemID="{CBB5F5BD-D2FB-404D-9E5F-D964F1943D25}"/>
</file>

<file path=customXml/itemProps4.xml><?xml version="1.0" encoding="utf-8"?>
<ds:datastoreItem xmlns:ds="http://schemas.openxmlformats.org/officeDocument/2006/customXml" ds:itemID="{44F73067-C8B3-4F48-BA87-D91022EB94D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1425</Words>
  <Characters>8554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Wilk</dc:creator>
  <cp:lastModifiedBy>Kamila Łabno-Hajduk</cp:lastModifiedBy>
  <cp:revision>3</cp:revision>
  <dcterms:created xsi:type="dcterms:W3CDTF">2025-09-28T15:27:00Z</dcterms:created>
  <dcterms:modified xsi:type="dcterms:W3CDTF">2025-09-30T17:41:00Z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0x01010079345ADDF3195B46A4DD796BAB975C65</vt:lpwstr>
  </property>
</Properties>
</file>