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149" w:rsidRPr="00107149" w:rsidRDefault="00107149" w:rsidP="00107149">
      <w:pPr>
        <w:pStyle w:val="Nagwek"/>
        <w:jc w:val="right"/>
        <w:rPr>
          <w:rFonts w:ascii="Times New Roman" w:hAnsi="Times New Roman" w:cs="Times New Roman"/>
          <w:sz w:val="22"/>
          <w:szCs w:val="22"/>
        </w:rPr>
      </w:pPr>
      <w:r w:rsidRPr="00107149">
        <w:rPr>
          <w:rFonts w:ascii="Times New Roman" w:hAnsi="Times New Roman" w:cs="Times New Roman"/>
          <w:sz w:val="22"/>
          <w:szCs w:val="22"/>
          <w:u w:val="single"/>
        </w:rPr>
        <w:t>Załącznik nr 4 do zarządzenia nr RD.Z.0211.3.2021</w:t>
      </w:r>
    </w:p>
    <w:p w:rsidR="00107149" w:rsidRPr="00107149" w:rsidRDefault="00107149" w:rsidP="00107149">
      <w:pPr>
        <w:pStyle w:val="Nagwek1"/>
        <w:rPr>
          <w:rFonts w:ascii="Times New Roman" w:hAnsi="Times New Roman"/>
          <w:b/>
          <w:bCs/>
          <w:sz w:val="22"/>
          <w:szCs w:val="22"/>
        </w:rPr>
      </w:pPr>
    </w:p>
    <w:p w:rsidR="00107149" w:rsidRPr="00107149" w:rsidRDefault="00107149" w:rsidP="00107149">
      <w:pPr>
        <w:pStyle w:val="Nagwek1"/>
        <w:rPr>
          <w:rFonts w:ascii="Times New Roman" w:hAnsi="Times New Roman"/>
          <w:b/>
          <w:bCs/>
          <w:sz w:val="22"/>
          <w:szCs w:val="22"/>
        </w:rPr>
      </w:pPr>
      <w:r w:rsidRPr="00107149">
        <w:rPr>
          <w:rFonts w:ascii="Times New Roman" w:hAnsi="Times New Roman"/>
          <w:b/>
          <w:bCs/>
          <w:sz w:val="22"/>
          <w:szCs w:val="22"/>
        </w:rPr>
        <w:t>KARTA KURSU</w:t>
      </w:r>
    </w:p>
    <w:p w:rsidR="00107149" w:rsidRPr="00107149" w:rsidRDefault="00107149" w:rsidP="00107149">
      <w:pPr>
        <w:jc w:val="center"/>
        <w:rPr>
          <w:rFonts w:ascii="Times New Roman" w:hAnsi="Times New Roman" w:cs="Times New Roman"/>
        </w:rPr>
      </w:pPr>
      <w:r w:rsidRPr="00107149">
        <w:rPr>
          <w:rFonts w:ascii="Times New Roman" w:hAnsi="Times New Roman" w:cs="Times New Roman"/>
        </w:rPr>
        <w:t>Kierunek: Turystyka Historyczna i Muzealnictwo</w:t>
      </w:r>
    </w:p>
    <w:p w:rsidR="00107149" w:rsidRDefault="00107149" w:rsidP="00107149">
      <w:pPr>
        <w:jc w:val="center"/>
        <w:rPr>
          <w:rFonts w:ascii="Times New Roman" w:hAnsi="Times New Roman" w:cs="Times New Roman"/>
        </w:rPr>
      </w:pPr>
      <w:r w:rsidRPr="00107149">
        <w:rPr>
          <w:rFonts w:ascii="Times New Roman" w:hAnsi="Times New Roman" w:cs="Times New Roman"/>
        </w:rPr>
        <w:t>Studia pierwszego stopnia, stacjonarne, rok 1, semestr 1</w:t>
      </w:r>
      <w:r w:rsidR="00986D0D">
        <w:rPr>
          <w:rFonts w:ascii="Times New Roman" w:hAnsi="Times New Roman" w:cs="Times New Roman"/>
        </w:rPr>
        <w:t>, 202</w:t>
      </w:r>
      <w:r w:rsidR="00B17308">
        <w:rPr>
          <w:rFonts w:ascii="Times New Roman" w:hAnsi="Times New Roman" w:cs="Times New Roman"/>
        </w:rPr>
        <w:t>5</w:t>
      </w:r>
      <w:r w:rsidR="00986D0D">
        <w:rPr>
          <w:rFonts w:ascii="Times New Roman" w:hAnsi="Times New Roman" w:cs="Times New Roman"/>
        </w:rPr>
        <w:t>/202</w:t>
      </w:r>
      <w:r w:rsidR="00B17308">
        <w:rPr>
          <w:rFonts w:ascii="Times New Roman" w:hAnsi="Times New Roman" w:cs="Times New Roman"/>
        </w:rPr>
        <w:t>6</w:t>
      </w:r>
      <w:r w:rsidR="00986D0D">
        <w:rPr>
          <w:rFonts w:ascii="Times New Roman" w:hAnsi="Times New Roman" w:cs="Times New Roman"/>
        </w:rPr>
        <w:t>.</w:t>
      </w:r>
    </w:p>
    <w:p w:rsidR="006C447B" w:rsidRDefault="006C447B" w:rsidP="006C447B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51188" w:rsidRPr="00107149" w:rsidRDefault="00951188" w:rsidP="006C447B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6C447B" w:rsidRPr="00107149" w:rsidTr="006C447B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107149">
            <w:pPr>
              <w:widowControl w:val="0"/>
              <w:suppressLineNumbers/>
              <w:suppressAutoHyphens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Działalność </w:t>
            </w:r>
            <w:r w:rsidR="00107149">
              <w:rPr>
                <w:rFonts w:ascii="Times New Roman" w:eastAsia="Times New Roman" w:hAnsi="Times New Roman" w:cs="Times New Roman"/>
                <w:lang w:eastAsia="pl-PL"/>
              </w:rPr>
              <w:t>k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olekcjonerska </w:t>
            </w:r>
            <w:r w:rsidR="00107149">
              <w:rPr>
                <w:rFonts w:ascii="Times New Roman" w:eastAsia="Times New Roman" w:hAnsi="Times New Roman" w:cs="Times New Roman"/>
                <w:lang w:eastAsia="pl-PL"/>
              </w:rPr>
              <w:t>m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uze</w:t>
            </w:r>
            <w:r w:rsidR="00107149">
              <w:rPr>
                <w:rFonts w:ascii="Times New Roman" w:eastAsia="Times New Roman" w:hAnsi="Times New Roman" w:cs="Times New Roman"/>
                <w:lang w:eastAsia="pl-PL"/>
              </w:rPr>
              <w:t>um</w:t>
            </w:r>
          </w:p>
        </w:tc>
      </w:tr>
      <w:tr w:rsidR="006C447B" w:rsidRPr="00107149" w:rsidTr="006C447B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107149" w:rsidP="00107149">
            <w:pPr>
              <w:widowControl w:val="0"/>
              <w:suppressLineNumbers/>
              <w:suppressAutoHyphens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Museum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c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ollecting</w:t>
            </w:r>
            <w:proofErr w:type="spellEnd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a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ctivities</w:t>
            </w:r>
            <w:proofErr w:type="spellEnd"/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6C447B" w:rsidRPr="00107149" w:rsidTr="006C447B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Dr Michał Niezabitowski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Zespół dydaktyczny</w:t>
            </w:r>
          </w:p>
        </w:tc>
      </w:tr>
      <w:tr w:rsidR="006C447B" w:rsidRPr="00107149" w:rsidTr="006C447B">
        <w:trPr>
          <w:cantSplit/>
          <w:trHeight w:val="450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6C447B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6C447B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6C447B" w:rsidRPr="00107149" w:rsidRDefault="00107149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t>Opis kursu (cele kształcenia)</w:t>
      </w: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6C447B" w:rsidRPr="00107149" w:rsidTr="006C447B">
        <w:trPr>
          <w:trHeight w:val="1365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Celem kursu jest przekazanie uczestnikom wiedzy oraz praktycznych umiejętności z zakresu działalności kolekcjonerskiej muzeum w rozumieniu Art. 2.1; Art. 21; Art. 23; Art. 26; Art. 27; Art. 28 Ustawy o Muzeach z dnia 21 XI 1996 r. </w:t>
            </w: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t>Warunki wstępne</w:t>
      </w: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6C447B" w:rsidRPr="00107149" w:rsidTr="006C447B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Brak</w:t>
            </w:r>
          </w:p>
        </w:tc>
      </w:tr>
      <w:tr w:rsidR="006C447B" w:rsidRPr="00107149" w:rsidTr="006C447B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Brak</w:t>
            </w:r>
          </w:p>
        </w:tc>
      </w:tr>
      <w:tr w:rsidR="006C447B" w:rsidRPr="00107149" w:rsidTr="006C447B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C447B" w:rsidRPr="00107149" w:rsidRDefault="006C447B" w:rsidP="006C447B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Brak</w:t>
            </w: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br w:type="page"/>
      </w:r>
      <w:r w:rsidRPr="00107149">
        <w:rPr>
          <w:rFonts w:ascii="Times New Roman" w:eastAsia="Times New Roman" w:hAnsi="Times New Roman" w:cs="Times New Roman"/>
          <w:lang w:eastAsia="pl-PL"/>
        </w:rPr>
        <w:lastRenderedPageBreak/>
        <w:t>Efekty uczenia się</w:t>
      </w: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953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1"/>
        <w:gridCol w:w="5193"/>
        <w:gridCol w:w="2378"/>
      </w:tblGrid>
      <w:tr w:rsidR="006C447B" w:rsidRPr="00107149" w:rsidTr="002160F5">
        <w:trPr>
          <w:cantSplit/>
          <w:trHeight w:val="959"/>
        </w:trPr>
        <w:tc>
          <w:tcPr>
            <w:tcW w:w="1961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Wiedza</w:t>
            </w:r>
          </w:p>
        </w:tc>
        <w:tc>
          <w:tcPr>
            <w:tcW w:w="51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Efekt uczenia się dla kursu</w:t>
            </w:r>
          </w:p>
        </w:tc>
        <w:tc>
          <w:tcPr>
            <w:tcW w:w="23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Odniesienie do efektów kierunkowych</w:t>
            </w:r>
          </w:p>
        </w:tc>
      </w:tr>
      <w:tr w:rsidR="006C447B" w:rsidRPr="00107149" w:rsidTr="002160F5">
        <w:trPr>
          <w:cantSplit/>
          <w:trHeight w:val="1897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6C447B" w:rsidRPr="00107149" w:rsidRDefault="002160F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W_01 – Student zna podstawy prawne określające zasady prowadzenia przez muzea działalności kolekcjonerskiej wynikające z Ustawy o Muzeach z dnia 21 listopada 1996 r. oraz przepisów wykonawczych do tej ustawy.</w:t>
            </w:r>
          </w:p>
          <w:p w:rsidR="002160F5" w:rsidRPr="00107149" w:rsidRDefault="002160F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W_02 – Student rozumie istotę procesu gromadzenia zbiorów w muzeum oraz rozpoznaje elementy struktury organizacyjnej muzeów odpowiedzialne za ten proces.</w:t>
            </w:r>
          </w:p>
          <w:p w:rsidR="002160F5" w:rsidRPr="00107149" w:rsidRDefault="002160F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W_03 – Student zna zasady działania podstawowych narzędzi prowadzenia działalności kolekcjone</w:t>
            </w:r>
            <w:r w:rsidR="00951188">
              <w:rPr>
                <w:rFonts w:ascii="Times New Roman" w:eastAsia="Times New Roman" w:hAnsi="Times New Roman" w:cs="Times New Roman"/>
                <w:lang w:eastAsia="pl-PL"/>
              </w:rPr>
              <w:t>rskiej w tym: Komisję Nabytków,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Księgę Wpływów</w:t>
            </w:r>
            <w:r w:rsidR="00951188">
              <w:rPr>
                <w:rFonts w:ascii="Times New Roman" w:eastAsia="Times New Roman" w:hAnsi="Times New Roman" w:cs="Times New Roman"/>
                <w:lang w:eastAsia="pl-PL"/>
              </w:rPr>
              <w:t xml:space="preserve"> i Księgę Inwentarzową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.  </w:t>
            </w:r>
          </w:p>
          <w:p w:rsidR="002160F5" w:rsidRPr="00107149" w:rsidRDefault="002160F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W_04 - Student posiada podstawową wiedze z zakresu rozpoznawania autentyczności zabytków oraz metodyki badań proweniencyjnych.  </w:t>
            </w:r>
          </w:p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6C447B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K_W01, K_W03, 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K_W07, K_W08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K_W07, K-W08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K_W02, K_W04</w:t>
            </w:r>
          </w:p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955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8"/>
        <w:gridCol w:w="5201"/>
        <w:gridCol w:w="2390"/>
      </w:tblGrid>
      <w:tr w:rsidR="006C447B" w:rsidRPr="00107149" w:rsidTr="002160F5">
        <w:trPr>
          <w:cantSplit/>
          <w:trHeight w:val="652"/>
        </w:trPr>
        <w:tc>
          <w:tcPr>
            <w:tcW w:w="196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Umiejętności</w:t>
            </w:r>
          </w:p>
        </w:tc>
        <w:tc>
          <w:tcPr>
            <w:tcW w:w="520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Efekt uczenia się dla kursu</w:t>
            </w:r>
          </w:p>
        </w:tc>
        <w:tc>
          <w:tcPr>
            <w:tcW w:w="23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Odniesienie do efektów kierunkowych</w:t>
            </w:r>
          </w:p>
        </w:tc>
      </w:tr>
      <w:tr w:rsidR="006C447B" w:rsidRPr="00107149" w:rsidTr="002160F5">
        <w:trPr>
          <w:cantSplit/>
          <w:trHeight w:val="1470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0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</w:t>
            </w:r>
            <w:r w:rsidR="002160F5" w:rsidRPr="00107149">
              <w:rPr>
                <w:rFonts w:ascii="Times New Roman" w:eastAsia="Times New Roman" w:hAnsi="Times New Roman" w:cs="Times New Roman"/>
                <w:lang w:eastAsia="pl-PL"/>
              </w:rPr>
              <w:t>_01 – Student posiadł umiejętność uczestnictwa w pracach Komisji Nabytków.</w:t>
            </w:r>
          </w:p>
          <w:p w:rsidR="002160F5" w:rsidRPr="00107149" w:rsidRDefault="002160F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U_02 – Student potrafi poruszać się z orientacją po rynku dzieł sztuki i zabytków.</w:t>
            </w:r>
          </w:p>
          <w:p w:rsidR="006C447B" w:rsidRPr="00107149" w:rsidRDefault="002160F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U_03 </w:t>
            </w:r>
            <w:r w:rsidR="000E3865" w:rsidRPr="00107149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Student potrafi zarysować zasady budowania polityki kolekcjonerskiej muzeów. 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U_04 – Student wie w jaki sposób wycenić dzieło sztuki w muzeum.</w:t>
            </w:r>
          </w:p>
        </w:tc>
        <w:tc>
          <w:tcPr>
            <w:tcW w:w="23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6C447B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K_U03, 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K_U02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K_U03, K_U08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K_U03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E3865" w:rsidRPr="00107149" w:rsidRDefault="000E3865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3"/>
        <w:gridCol w:w="4895"/>
        <w:gridCol w:w="2316"/>
      </w:tblGrid>
      <w:tr w:rsidR="000E3865" w:rsidRPr="00107149" w:rsidTr="006C447B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Odniesienie do efektów kierunkowych</w:t>
            </w:r>
          </w:p>
        </w:tc>
      </w:tr>
      <w:tr w:rsidR="000E3865" w:rsidRPr="00107149" w:rsidTr="006C447B">
        <w:trPr>
          <w:cantSplit/>
          <w:trHeight w:val="1984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6C447B" w:rsidRPr="00107149" w:rsidRDefault="002160F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K_01 – Student rozumie społeczny kontekst gromadzenia zbiorów w muzeum.</w:t>
            </w:r>
          </w:p>
          <w:p w:rsidR="002160F5" w:rsidRPr="00107149" w:rsidRDefault="002160F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K_02 – Student jest wyczulony na problem sentymentalnej</w:t>
            </w:r>
            <w:r w:rsidR="00951188">
              <w:rPr>
                <w:rFonts w:ascii="Times New Roman" w:eastAsia="Times New Roman" w:hAnsi="Times New Roman" w:cs="Times New Roman"/>
                <w:lang w:eastAsia="pl-PL"/>
              </w:rPr>
              <w:t xml:space="preserve"> i kontekstowej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wartości zabytków</w:t>
            </w:r>
            <w:r w:rsidR="000E3865"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oraz na problematykę specyfiki kontaktu z właścicielem zabytków.</w:t>
            </w:r>
          </w:p>
          <w:p w:rsidR="006C447B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K_03 – Student rozumie rolę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muzealium</w:t>
            </w:r>
            <w:proofErr w:type="spellEnd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jako kapitału społecznego.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6C447B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K_K01, </w:t>
            </w:r>
            <w:r w:rsidR="006C447B" w:rsidRPr="00107149">
              <w:rPr>
                <w:rFonts w:ascii="Times New Roman" w:eastAsia="Times New Roman" w:hAnsi="Times New Roman" w:cs="Times New Roman"/>
                <w:lang w:eastAsia="pl-PL"/>
              </w:rPr>
              <w:t>K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_K0201,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K_K03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K_K01, K_K03</w:t>
            </w: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6C447B" w:rsidRPr="00107149" w:rsidTr="00107149">
        <w:trPr>
          <w:cantSplit/>
          <w:trHeight w:val="424"/>
        </w:trPr>
        <w:tc>
          <w:tcPr>
            <w:tcW w:w="9640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ind w:left="45" w:right="13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Organizacja</w:t>
            </w:r>
          </w:p>
        </w:tc>
      </w:tr>
      <w:tr w:rsidR="006C447B" w:rsidRPr="00107149" w:rsidTr="00107149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Wykład</w:t>
            </w:r>
          </w:p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Ćwiczenia w grupach</w:t>
            </w:r>
          </w:p>
        </w:tc>
      </w:tr>
      <w:tr w:rsidR="006C447B" w:rsidRPr="00107149" w:rsidTr="00107149"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107149"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t>Opis metod prowadzenia zajęć</w:t>
      </w: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9163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63"/>
      </w:tblGrid>
      <w:tr w:rsidR="006C447B" w:rsidRPr="00107149" w:rsidTr="00DB4DDF">
        <w:trPr>
          <w:trHeight w:val="1233"/>
        </w:trPr>
        <w:tc>
          <w:tcPr>
            <w:tcW w:w="91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Podstawowa wiedza przekazywana jest w postaci wykładu. Praktyczne umiejętności przekazywane są w postaci uczestnictwa bierneg</w:t>
            </w:r>
            <w:r w:rsidR="00DB4DDF" w:rsidRPr="00107149">
              <w:rPr>
                <w:rFonts w:ascii="Times New Roman" w:eastAsia="Times New Roman" w:hAnsi="Times New Roman" w:cs="Times New Roman"/>
                <w:lang w:eastAsia="pl-PL"/>
              </w:rPr>
              <w:t>o i czynnego w pracach Komisji N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abytków Muzeum Krakowa oraz Działu Inwentaryzacji i Gromadzenia Zbiorów Muzeum Krakowa</w:t>
            </w:r>
            <w:r w:rsidR="00107149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  <w:r w:rsidR="0030360A">
              <w:rPr>
                <w:rFonts w:ascii="Times New Roman" w:eastAsia="Times New Roman" w:hAnsi="Times New Roman" w:cs="Times New Roman"/>
                <w:lang w:eastAsia="pl-PL"/>
              </w:rPr>
              <w:t xml:space="preserve"> Uzupełnieniem kursu jest umożliwienie studentom bezpośredniego kontaktu z muzealiami.</w:t>
            </w:r>
          </w:p>
        </w:tc>
      </w:tr>
    </w:tbl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t>Formy sprawdzania efektów uczenia się</w:t>
      </w:r>
    </w:p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898"/>
        <w:gridCol w:w="628"/>
        <w:gridCol w:w="628"/>
        <w:gridCol w:w="628"/>
        <w:gridCol w:w="628"/>
        <w:gridCol w:w="628"/>
        <w:gridCol w:w="628"/>
        <w:gridCol w:w="628"/>
        <w:gridCol w:w="628"/>
        <w:gridCol w:w="546"/>
        <w:gridCol w:w="710"/>
        <w:gridCol w:w="628"/>
        <w:gridCol w:w="628"/>
        <w:gridCol w:w="628"/>
      </w:tblGrid>
      <w:tr w:rsidR="006C447B" w:rsidRPr="00107149" w:rsidTr="006C447B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E – </w:t>
            </w:r>
            <w:r w:rsidRPr="00107149">
              <w:rPr>
                <w:rFonts w:ascii="Times New Roman" w:eastAsia="Times New Roman" w:hAnsi="Times New Roman" w:cs="Times New Roman"/>
                <w:lang w:val="en-US" w:eastAsia="pl-PL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Egza</w:t>
            </w:r>
            <w:bookmarkStart w:id="0" w:name="_GoBack"/>
            <w:bookmarkEnd w:id="0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Inne</w:t>
            </w:r>
          </w:p>
        </w:tc>
      </w:tr>
      <w:tr w:rsidR="006C447B" w:rsidRPr="00107149" w:rsidTr="006C447B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6C447B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106D4" w:rsidRPr="00107149" w:rsidTr="006C447B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106D4" w:rsidRPr="00107149" w:rsidTr="006C447B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W04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6C447B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6C447B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106D4" w:rsidRPr="00107149" w:rsidTr="006C447B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106D4" w:rsidRPr="00107149" w:rsidTr="006C447B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U04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3106D4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6C447B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6C447B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447B" w:rsidRPr="00107149" w:rsidTr="006C447B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3106D4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6C447B" w:rsidRPr="00107149" w:rsidTr="006C447B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3106D4"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Podstawowym elementem oceny jest egzamin pisemny w formie testu składający się z 40 pytań otwartych oraz 20 pytań do wyboru (z czterech opcji). </w:t>
            </w:r>
          </w:p>
          <w:p w:rsidR="003106D4" w:rsidRPr="00107149" w:rsidRDefault="003106D4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60 – 55 popr. odpowiedzi –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bdb</w:t>
            </w:r>
            <w:proofErr w:type="spellEnd"/>
          </w:p>
          <w:p w:rsidR="003106D4" w:rsidRPr="00107149" w:rsidRDefault="003106D4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54 – 45 popr. odpowiedzi –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db</w:t>
            </w:r>
            <w:proofErr w:type="spellEnd"/>
            <w:r w:rsidR="004A582E"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(54 – 50 - +</w:t>
            </w:r>
            <w:proofErr w:type="spellStart"/>
            <w:r w:rsidR="004A582E" w:rsidRPr="00107149">
              <w:rPr>
                <w:rFonts w:ascii="Times New Roman" w:eastAsia="Times New Roman" w:hAnsi="Times New Roman" w:cs="Times New Roman"/>
                <w:lang w:eastAsia="pl-PL"/>
              </w:rPr>
              <w:t>db</w:t>
            </w:r>
            <w:proofErr w:type="spellEnd"/>
            <w:r w:rsidR="004A582E" w:rsidRPr="00107149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  <w:p w:rsidR="003106D4" w:rsidRPr="00107149" w:rsidRDefault="003106D4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44 –</w:t>
            </w:r>
            <w:r w:rsidR="004A582E"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30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popr. odpowiedzi -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dst</w:t>
            </w:r>
            <w:proofErr w:type="spellEnd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 </w:t>
            </w:r>
            <w:r w:rsidR="004A582E" w:rsidRPr="00107149">
              <w:rPr>
                <w:rFonts w:ascii="Times New Roman" w:eastAsia="Times New Roman" w:hAnsi="Times New Roman" w:cs="Times New Roman"/>
                <w:lang w:eastAsia="pl-PL"/>
              </w:rPr>
              <w:t>(44 – 40 - +</w:t>
            </w:r>
            <w:proofErr w:type="spellStart"/>
            <w:r w:rsidR="004A582E" w:rsidRPr="00107149">
              <w:rPr>
                <w:rFonts w:ascii="Times New Roman" w:eastAsia="Times New Roman" w:hAnsi="Times New Roman" w:cs="Times New Roman"/>
                <w:lang w:eastAsia="pl-PL"/>
              </w:rPr>
              <w:t>dst</w:t>
            </w:r>
            <w:proofErr w:type="spellEnd"/>
            <w:r w:rsidR="004A582E" w:rsidRPr="00107149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  <w:p w:rsidR="004A582E" w:rsidRDefault="004A582E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Poniżej 30 -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ndst</w:t>
            </w:r>
            <w:proofErr w:type="spellEnd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A532E6" w:rsidRPr="00A532E6" w:rsidRDefault="00A532E6" w:rsidP="00A532E6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IOS: </w:t>
            </w:r>
            <w:r w:rsidRPr="00A532E6">
              <w:rPr>
                <w:rFonts w:ascii="Times New Roman" w:eastAsia="Times New Roman" w:hAnsi="Times New Roman" w:cs="Times New Roman"/>
                <w:lang w:eastAsia="pl-PL"/>
              </w:rPr>
              <w:t>Dla kursu "Działalność Kolekcjonerska Muzeów" proszę o przedstawienie trzech następujących prac pisemnych w terminach do końca listopada, do końca grudnia i do 29 stycznia;</w:t>
            </w:r>
          </w:p>
          <w:p w:rsidR="00A532E6" w:rsidRPr="00A532E6" w:rsidRDefault="00A532E6" w:rsidP="00A532E6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A532E6" w:rsidRPr="00A532E6" w:rsidRDefault="00A532E6" w:rsidP="00A532E6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532E6">
              <w:rPr>
                <w:rFonts w:ascii="Times New Roman" w:eastAsia="Times New Roman" w:hAnsi="Times New Roman" w:cs="Times New Roman"/>
                <w:lang w:eastAsia="pl-PL"/>
              </w:rPr>
              <w:t xml:space="preserve">    Działalność kolekcjonerska muzeów w świetle ustawy "o Muzeach" z dnia 21 </w:t>
            </w:r>
            <w:r w:rsidRPr="00A532E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listopada 1996 r.</w:t>
            </w:r>
          </w:p>
          <w:p w:rsidR="00A532E6" w:rsidRPr="00A532E6" w:rsidRDefault="00A532E6" w:rsidP="00A532E6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532E6">
              <w:rPr>
                <w:rFonts w:ascii="Times New Roman" w:eastAsia="Times New Roman" w:hAnsi="Times New Roman" w:cs="Times New Roman"/>
                <w:lang w:eastAsia="pl-PL"/>
              </w:rPr>
              <w:t xml:space="preserve">    Zadania i narzędzia pracy działu Głównego Inwentaryzatora w muzeach.</w:t>
            </w:r>
          </w:p>
          <w:p w:rsidR="00A532E6" w:rsidRPr="00107149" w:rsidRDefault="00A532E6" w:rsidP="00A532E6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532E6">
              <w:rPr>
                <w:rFonts w:ascii="Times New Roman" w:eastAsia="Times New Roman" w:hAnsi="Times New Roman" w:cs="Times New Roman"/>
                <w:lang w:eastAsia="pl-PL"/>
              </w:rPr>
              <w:t xml:space="preserve">    Zasady budowy polityki kolekcjonerskiej w muzeach.</w:t>
            </w:r>
          </w:p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6C447B" w:rsidRPr="00107149" w:rsidTr="006C447B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N w:val="0"/>
              <w:spacing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C447B" w:rsidRPr="00107149" w:rsidRDefault="006C447B" w:rsidP="006C447B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t>Treści merytoryczne (wykaz tematów)</w:t>
      </w: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6C447B" w:rsidRPr="00107149" w:rsidTr="006C447B">
        <w:trPr>
          <w:trHeight w:val="1136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6C447B" w:rsidRPr="00107149" w:rsidRDefault="00DB4DDF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Pozyskiwanie i gromadzenie zbiorów – podstawy prawne.</w:t>
            </w:r>
          </w:p>
          <w:p w:rsidR="00DB4DDF" w:rsidRPr="00107149" w:rsidRDefault="00DB4DDF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Komórki organizacyjne w muzeum odpowiedzialne za działalność kolekcjonerską.</w:t>
            </w:r>
          </w:p>
          <w:p w:rsidR="00DB4DDF" w:rsidRPr="00107149" w:rsidRDefault="00DB4DDF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Zajęcia praktyczne – udział w pracach Komisji Nabytków.</w:t>
            </w:r>
          </w:p>
          <w:p w:rsidR="00DB4DDF" w:rsidRPr="00107149" w:rsidRDefault="00DB4DDF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Zajęci</w:t>
            </w:r>
            <w:r w:rsidR="003D49EF">
              <w:rPr>
                <w:rFonts w:ascii="Times New Roman" w:eastAsia="Times New Roman" w:hAnsi="Times New Roman" w:cs="Times New Roman"/>
                <w:lang w:eastAsia="pl-PL"/>
              </w:rPr>
              <w:t>a praktyczne – udział  w pracach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Komisji Nabytków.</w:t>
            </w:r>
          </w:p>
          <w:p w:rsidR="00DB4DDF" w:rsidRPr="00107149" w:rsidRDefault="00DB4DDF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Księga wpływów w muzeum.</w:t>
            </w:r>
          </w:p>
          <w:p w:rsidR="00DB4DDF" w:rsidRPr="00107149" w:rsidRDefault="00DB4DDF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Zajęcia terenowe – rozpoznanie rynku dzieł sztuki i zabytków.</w:t>
            </w:r>
          </w:p>
          <w:p w:rsidR="000E3865" w:rsidRPr="00107149" w:rsidRDefault="000E3865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Wprowadzenie do problematyki wyceny zbiorów w muzeum.</w:t>
            </w:r>
          </w:p>
          <w:p w:rsidR="00DB4DDF" w:rsidRPr="00107149" w:rsidRDefault="00DB4DDF" w:rsidP="00DB4D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Kopia, falsyfikat….podstawowe zasady rozpoznawania autentyczności zabytków.</w:t>
            </w:r>
          </w:p>
          <w:p w:rsidR="00DB4DDF" w:rsidRPr="00107149" w:rsidRDefault="00DB4DDF" w:rsidP="00DB4D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Zasady budowania polityki gromadzenia zbiorów (polityki kolekcjonerskiej) w muzeum.</w:t>
            </w:r>
          </w:p>
          <w:p w:rsidR="00740116" w:rsidRPr="00107149" w:rsidRDefault="00740116" w:rsidP="00DB4D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Badania proweniencyjne – wprowadzenie.</w:t>
            </w:r>
          </w:p>
          <w:p w:rsidR="00DB4DDF" w:rsidRPr="00107149" w:rsidRDefault="00DB4DDF" w:rsidP="00DB4D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Kiedy zabytek staje się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muzealium</w:t>
            </w:r>
            <w:proofErr w:type="spellEnd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? </w:t>
            </w: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t>Wykaz literatury podstawowej</w:t>
      </w: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6C447B" w:rsidRPr="00107149" w:rsidTr="006C447B">
        <w:trPr>
          <w:trHeight w:val="1098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740116" w:rsidRPr="00107149" w:rsidRDefault="00740116" w:rsidP="0074011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 xml:space="preserve">ABC Podstawy prowadzenia badań proweniencyjnych, </w:t>
            </w:r>
            <w:r w:rsidRPr="00107149">
              <w:rPr>
                <w:rFonts w:ascii="Times New Roman" w:eastAsia="Times New Roman" w:hAnsi="Times New Roman" w:cs="Times New Roman"/>
                <w:bCs/>
                <w:lang w:eastAsia="pl-PL"/>
              </w:rPr>
              <w:t>Praca zbiorowa, Warszawa 2015.</w:t>
            </w:r>
          </w:p>
          <w:p w:rsidR="00740116" w:rsidRPr="00107149" w:rsidRDefault="00740116" w:rsidP="0074011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</w:p>
          <w:p w:rsidR="00740116" w:rsidRPr="00107149" w:rsidRDefault="00740116" w:rsidP="0074011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 xml:space="preserve">Kolekcjonerstwo polskie XX i XXI wieku, </w:t>
            </w:r>
            <w:r w:rsidRPr="00107149">
              <w:rPr>
                <w:rFonts w:ascii="Times New Roman" w:eastAsia="Times New Roman" w:hAnsi="Times New Roman" w:cs="Times New Roman"/>
                <w:bCs/>
                <w:lang w:eastAsia="pl-PL"/>
              </w:rPr>
              <w:t>Praca zbiorowa, Warszawa 2015.</w:t>
            </w:r>
          </w:p>
          <w:p w:rsidR="00740116" w:rsidRPr="00107149" w:rsidRDefault="00740116" w:rsidP="0074011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</w:p>
          <w:p w:rsidR="00740116" w:rsidRPr="00107149" w:rsidRDefault="00740116" w:rsidP="0074011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>Problematyka autentyczności dzieł sztuki na polskim rynku. Teoria - praktyka - prawo</w:t>
            </w:r>
          </w:p>
          <w:p w:rsidR="00740116" w:rsidRPr="00107149" w:rsidRDefault="00740116" w:rsidP="0074011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bCs/>
                <w:lang w:eastAsia="pl-PL"/>
              </w:rPr>
              <w:t>Praca zbiorowa, Warszawa 2012.</w:t>
            </w:r>
          </w:p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t>Wykaz literatury uzupełniającej</w:t>
      </w: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6C447B" w:rsidRPr="00107149" w:rsidTr="006C447B">
        <w:trPr>
          <w:trHeight w:val="111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DB4DDF" w:rsidRPr="00107149" w:rsidRDefault="00DB4DDF" w:rsidP="00DB4D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i/>
                <w:lang w:eastAsia="pl-PL"/>
              </w:rPr>
              <w:t>Miłośnictwo rzeczy. Studia z historii kolekcjonerstwa na ziemiach polskich w XIX wieku</w:t>
            </w:r>
          </w:p>
          <w:p w:rsidR="006C447B" w:rsidRPr="00107149" w:rsidRDefault="00DB4DDF" w:rsidP="00DB4D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Pod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redkacją</w:t>
            </w:r>
            <w:proofErr w:type="spellEnd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Kamili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Kłudkiewicz</w:t>
            </w:r>
            <w:proofErr w:type="spellEnd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 i Michała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Mencfela</w:t>
            </w:r>
            <w:proofErr w:type="spellEnd"/>
            <w:r w:rsidR="00740116" w:rsidRPr="00107149">
              <w:rPr>
                <w:rFonts w:ascii="Times New Roman" w:eastAsia="Times New Roman" w:hAnsi="Times New Roman" w:cs="Times New Roman"/>
                <w:lang w:eastAsia="pl-PL"/>
              </w:rPr>
              <w:t>, Warszawa 2014.</w:t>
            </w:r>
          </w:p>
          <w:p w:rsidR="00740116" w:rsidRPr="00107149" w:rsidRDefault="00740116" w:rsidP="00DB4DD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40116" w:rsidRPr="00107149" w:rsidRDefault="00740116" w:rsidP="0074011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Bożena </w:t>
            </w:r>
            <w:proofErr w:type="spellStart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Steinborn</w:t>
            </w:r>
            <w:proofErr w:type="spellEnd"/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107149">
              <w:rPr>
                <w:rFonts w:ascii="Times New Roman" w:eastAsia="Times New Roman" w:hAnsi="Times New Roman" w:cs="Times New Roman"/>
                <w:i/>
                <w:lang w:eastAsia="pl-PL"/>
              </w:rPr>
              <w:t xml:space="preserve">Zadania i satysfakcje muzealnika wobec zbioru przedmiotów zabytkowych. Wykłady na Podyplomowym Studium Muzealniczym przy Instytucie Historii Sztuki Uniwersytetu Warszawskiego w latach 1995–2014, </w:t>
            </w:r>
            <w:r w:rsidRPr="00107149">
              <w:rPr>
                <w:rFonts w:ascii="Times New Roman" w:eastAsia="Times New Roman" w:hAnsi="Times New Roman" w:cs="Times New Roman"/>
                <w:lang w:eastAsia="pl-PL"/>
              </w:rPr>
              <w:t>Warszawa 2021.</w:t>
            </w:r>
          </w:p>
          <w:p w:rsidR="00740116" w:rsidRPr="00107149" w:rsidRDefault="00740116" w:rsidP="0074011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07149">
        <w:rPr>
          <w:rFonts w:ascii="Times New Roman" w:eastAsia="Times New Roman" w:hAnsi="Times New Roman" w:cs="Times New Roman"/>
          <w:lang w:eastAsia="pl-PL"/>
        </w:rPr>
        <w:t>Bilans godzinowy zgodny z CNPS (Całkowity Nakład Pracy Studenta)</w:t>
      </w:r>
    </w:p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33"/>
        <w:gridCol w:w="5392"/>
        <w:gridCol w:w="1037"/>
      </w:tblGrid>
      <w:tr w:rsidR="006C447B" w:rsidRPr="00107149" w:rsidTr="006C447B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lastRenderedPageBreak/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740116" w:rsidP="006C447B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15</w:t>
            </w:r>
          </w:p>
        </w:tc>
      </w:tr>
      <w:tr w:rsidR="006C447B" w:rsidRPr="00107149" w:rsidTr="006C447B">
        <w:trPr>
          <w:cantSplit/>
          <w:trHeight w:val="332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Konwersatorium (ćwiczenia,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740116" w:rsidP="006C447B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15</w:t>
            </w:r>
          </w:p>
        </w:tc>
      </w:tr>
      <w:tr w:rsidR="006C447B" w:rsidRPr="00107149" w:rsidTr="006C447B">
        <w:trPr>
          <w:cantSplit/>
          <w:trHeight w:val="670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widowControl w:val="0"/>
              <w:suppressAutoHyphens/>
              <w:autoSpaceDE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107149" w:rsidP="006C447B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6C447B" w:rsidRPr="00107149" w:rsidTr="006C447B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107149" w:rsidP="006C447B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740116" w:rsidRPr="00107149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6C447B" w:rsidRPr="00107149" w:rsidTr="006C447B">
        <w:trPr>
          <w:cantSplit/>
          <w:trHeight w:val="710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6C447B" w:rsidRPr="00107149" w:rsidTr="006C447B">
        <w:trPr>
          <w:cantSplit/>
          <w:trHeight w:val="731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740116" w:rsidP="00107149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1</w:t>
            </w:r>
            <w:r w:rsidR="00107149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6C447B" w:rsidRPr="00107149" w:rsidTr="006C447B">
        <w:trPr>
          <w:cantSplit/>
          <w:trHeight w:val="365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740116" w:rsidP="006C447B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6C447B" w:rsidRPr="00107149" w:rsidTr="006C447B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Ogółem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107149" w:rsidP="006C447B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  <w:r w:rsidR="00740116" w:rsidRPr="00107149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6C447B" w:rsidRPr="00107149" w:rsidTr="006C447B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6C447B" w:rsidRPr="00107149" w:rsidRDefault="006C447B" w:rsidP="006C447B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107149">
              <w:rPr>
                <w:rFonts w:ascii="Times New Roman" w:eastAsia="Calibri" w:hAnsi="Times New Roman" w:cs="Times New Roman"/>
              </w:rPr>
              <w:t>Liczba punktów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6C447B" w:rsidRPr="00107149" w:rsidRDefault="00107149" w:rsidP="006C447B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</w:tr>
    </w:tbl>
    <w:p w:rsidR="006C447B" w:rsidRPr="00107149" w:rsidRDefault="006C447B" w:rsidP="006C44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5F3" w:rsidRPr="00107149" w:rsidRDefault="005C05F3">
      <w:pPr>
        <w:rPr>
          <w:rFonts w:ascii="Times New Roman" w:hAnsi="Times New Roman" w:cs="Times New Roman"/>
        </w:rPr>
      </w:pPr>
    </w:p>
    <w:sectPr w:rsidR="005C05F3" w:rsidRPr="00107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7B"/>
    <w:rsid w:val="000E3865"/>
    <w:rsid w:val="00107149"/>
    <w:rsid w:val="002160F5"/>
    <w:rsid w:val="0030360A"/>
    <w:rsid w:val="003106D4"/>
    <w:rsid w:val="00314B00"/>
    <w:rsid w:val="003D49EF"/>
    <w:rsid w:val="004A582E"/>
    <w:rsid w:val="005C05F3"/>
    <w:rsid w:val="006C447B"/>
    <w:rsid w:val="00740116"/>
    <w:rsid w:val="00871E1D"/>
    <w:rsid w:val="00951188"/>
    <w:rsid w:val="00986D0D"/>
    <w:rsid w:val="00A532E6"/>
    <w:rsid w:val="00B17308"/>
    <w:rsid w:val="00DB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F3596"/>
  <w15:chartTrackingRefBased/>
  <w15:docId w15:val="{FAC18705-FC7B-4ADE-A9E2-682121DFB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07149"/>
    <w:pPr>
      <w:keepNext/>
      <w:widowControl w:val="0"/>
      <w:suppressAutoHyphens/>
      <w:spacing w:after="0" w:line="240" w:lineRule="auto"/>
      <w:jc w:val="center"/>
      <w:outlineLvl w:val="0"/>
    </w:pPr>
    <w:rPr>
      <w:rFonts w:ascii="Verdana" w:eastAsia="Times New Roman" w:hAnsi="Verdana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7149"/>
    <w:rPr>
      <w:rFonts w:ascii="Verdana" w:eastAsia="Times New Roman" w:hAnsi="Verdana" w:cs="Times New Roman"/>
      <w:sz w:val="28"/>
      <w:szCs w:val="28"/>
      <w:lang w:eastAsia="pl-PL"/>
    </w:rPr>
  </w:style>
  <w:style w:type="paragraph" w:styleId="Nagwek">
    <w:name w:val="header"/>
    <w:basedOn w:val="Normalny"/>
    <w:next w:val="Tekstpodstawowy"/>
    <w:link w:val="NagwekZnak"/>
    <w:semiHidden/>
    <w:rsid w:val="00107149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07149"/>
    <w:rPr>
      <w:rFonts w:ascii="Arial" w:eastAsia="Times New Roman" w:hAnsi="Arial" w:cs="Arial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071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07149"/>
  </w:style>
  <w:style w:type="paragraph" w:styleId="Akapitzlist">
    <w:name w:val="List Paragraph"/>
    <w:basedOn w:val="Normalny"/>
    <w:uiPriority w:val="34"/>
    <w:qFormat/>
    <w:rsid w:val="00107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5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c623331f0f22f54444f882fe16809fcd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53b1ce6187ea9e4834cdb99062d4ebdb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FA3BEC-69DD-4A80-9FF4-5AD024C0D22D}"/>
</file>

<file path=customXml/itemProps2.xml><?xml version="1.0" encoding="utf-8"?>
<ds:datastoreItem xmlns:ds="http://schemas.openxmlformats.org/officeDocument/2006/customXml" ds:itemID="{1BC04E82-580F-48DF-A62A-A0A6EA423D96}"/>
</file>

<file path=customXml/itemProps3.xml><?xml version="1.0" encoding="utf-8"?>
<ds:datastoreItem xmlns:ds="http://schemas.openxmlformats.org/officeDocument/2006/customXml" ds:itemID="{D0E1A337-8F86-4B4A-BD5B-80A45F7554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866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Niezabitowski</dc:creator>
  <cp:keywords/>
  <dc:description/>
  <cp:lastModifiedBy>Michał Niezabitowski</cp:lastModifiedBy>
  <cp:revision>6</cp:revision>
  <dcterms:created xsi:type="dcterms:W3CDTF">2024-09-28T09:14:00Z</dcterms:created>
  <dcterms:modified xsi:type="dcterms:W3CDTF">2025-09-27T10:25:00Z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